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70" w:rsidRPr="003B1070" w:rsidRDefault="003B1070" w:rsidP="003B1070">
      <w:pPr>
        <w:spacing w:line="276" w:lineRule="auto"/>
        <w:ind w:left="720" w:right="1" w:firstLine="720"/>
        <w:contextualSpacing/>
        <w:jc w:val="right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 xml:space="preserve">załącznik nr </w:t>
      </w:r>
      <w:r w:rsidR="000673E5">
        <w:rPr>
          <w:b/>
          <w:sz w:val="22"/>
          <w:szCs w:val="22"/>
        </w:rPr>
        <w:t>2</w:t>
      </w:r>
    </w:p>
    <w:p w:rsidR="003B1070" w:rsidRPr="003B1070" w:rsidRDefault="003B1070" w:rsidP="003B1070">
      <w:pPr>
        <w:spacing w:line="276" w:lineRule="auto"/>
        <w:ind w:left="720" w:right="1" w:firstLine="720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ind w:left="720" w:right="1" w:firstLine="720"/>
        <w:contextualSpacing/>
        <w:jc w:val="center"/>
        <w:rPr>
          <w:sz w:val="22"/>
          <w:szCs w:val="22"/>
        </w:rPr>
      </w:pPr>
      <w:r w:rsidRPr="003B1070">
        <w:rPr>
          <w:b/>
          <w:sz w:val="22"/>
          <w:szCs w:val="22"/>
        </w:rPr>
        <w:t>UMOWA</w:t>
      </w:r>
      <w:r w:rsidR="00A01FD6" w:rsidRPr="003B1070">
        <w:rPr>
          <w:b/>
          <w:sz w:val="22"/>
          <w:szCs w:val="22"/>
        </w:rPr>
        <w:t xml:space="preserve"> wzór                                                                                                            </w:t>
      </w:r>
    </w:p>
    <w:p w:rsidR="0055791E" w:rsidRPr="003B1070" w:rsidRDefault="0055791E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pStyle w:val="Teksttreci20"/>
        <w:shd w:val="clear" w:color="auto" w:fill="auto"/>
        <w:spacing w:after="201" w:line="276" w:lineRule="auto"/>
        <w:ind w:firstLine="0"/>
        <w:contextualSpacing/>
        <w:rPr>
          <w:rFonts w:ascii="Times New Roman" w:hAnsi="Times New Roman" w:cs="Times New Roman"/>
        </w:rPr>
      </w:pPr>
      <w:r w:rsidRPr="003B1070">
        <w:rPr>
          <w:rFonts w:ascii="Times New Roman" w:hAnsi="Times New Roman" w:cs="Times New Roman"/>
        </w:rPr>
        <w:t xml:space="preserve">Dnia …………...2022 r. w Jarosławiu pomiędzy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Państwową Wyższą Szkołą Techniczno– Ekonomiczną w Jarosławiu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br/>
      </w:r>
      <w:r w:rsidRPr="003B1070">
        <w:rPr>
          <w:rFonts w:ascii="Times New Roman" w:hAnsi="Times New Roman" w:cs="Times New Roman"/>
        </w:rPr>
        <w:t xml:space="preserve">reprezentowaną przez: </w:t>
      </w:r>
      <w:r w:rsidRPr="003B1070">
        <w:rPr>
          <w:rFonts w:ascii="Times New Roman" w:hAnsi="Times New Roman" w:cs="Times New Roman"/>
          <w:b/>
        </w:rPr>
        <w:t>Kanclerza mgr inż. Mariusza Dudka</w:t>
      </w:r>
      <w:r w:rsidRPr="003B1070">
        <w:rPr>
          <w:rFonts w:ascii="Times New Roman" w:hAnsi="Times New Roman" w:cs="Times New Roman"/>
        </w:rPr>
        <w:br/>
      </w:r>
      <w:r w:rsidRPr="003B1070"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zwaną dalej </w:t>
      </w:r>
      <w:r w:rsidRPr="003B1070">
        <w:rPr>
          <w:rFonts w:ascii="Times New Roman" w:hAnsi="Times New Roman" w:cs="Times New Roman"/>
        </w:rPr>
        <w:t>„Zamawiającym”,</w:t>
      </w:r>
      <w:r w:rsidRPr="003B1070">
        <w:rPr>
          <w:rFonts w:ascii="Times New Roman" w:hAnsi="Times New Roman" w:cs="Times New Roman"/>
        </w:rPr>
        <w:br/>
      </w:r>
      <w:r w:rsidRPr="003B1070">
        <w:rPr>
          <w:rStyle w:val="Teksttreci4Bezpogrubienia"/>
          <w:rFonts w:ascii="Times New Roman" w:hAnsi="Times New Roman" w:cs="Times New Roman"/>
          <w:sz w:val="22"/>
          <w:szCs w:val="22"/>
        </w:rPr>
        <w:t>a</w:t>
      </w:r>
    </w:p>
    <w:p w:rsidR="0055791E" w:rsidRPr="003B1070" w:rsidRDefault="005E3C27" w:rsidP="003B1070">
      <w:pPr>
        <w:spacing w:line="276" w:lineRule="auto"/>
        <w:contextualSpacing/>
        <w:rPr>
          <w:rStyle w:val="Teksttreci4Bezpogrubienia"/>
          <w:color w:val="auto"/>
          <w:sz w:val="22"/>
          <w:szCs w:val="22"/>
          <w:lang w:eastAsia="ar-SA" w:bidi="ar-SA"/>
        </w:rPr>
      </w:pPr>
      <w:r w:rsidRPr="003B1070">
        <w:rPr>
          <w:sz w:val="22"/>
          <w:szCs w:val="22"/>
        </w:rPr>
        <w:t>firmą ………………………………………………………………………………………………………….</w:t>
      </w:r>
    </w:p>
    <w:p w:rsidR="0055791E" w:rsidRPr="003B1070" w:rsidRDefault="005E3C27" w:rsidP="003B1070">
      <w:pPr>
        <w:pStyle w:val="Teksttreci20"/>
        <w:shd w:val="clear" w:color="auto" w:fill="auto"/>
        <w:spacing w:after="120" w:line="276" w:lineRule="auto"/>
        <w:ind w:firstLine="0"/>
        <w:contextualSpacing/>
        <w:rPr>
          <w:rStyle w:val="Teksttreci2Pogrubienie"/>
          <w:rFonts w:ascii="Times New Roman" w:hAnsi="Times New Roman" w:cs="Times New Roman"/>
          <w:sz w:val="22"/>
          <w:szCs w:val="22"/>
        </w:rPr>
      </w:pPr>
      <w:r w:rsidRPr="003B1070">
        <w:rPr>
          <w:rFonts w:ascii="Times New Roman" w:hAnsi="Times New Roman" w:cs="Times New Roman"/>
        </w:rPr>
        <w:t>reprezentowaną przez: …………………………………………………………………………………….…</w:t>
      </w:r>
      <w:r w:rsidRPr="003B1070">
        <w:rPr>
          <w:rFonts w:ascii="Times New Roman" w:hAnsi="Times New Roman" w:cs="Times New Roman"/>
        </w:rPr>
        <w:br/>
        <w:t xml:space="preserve">zwaną dalej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„Wykonawcą”, </w:t>
      </w:r>
    </w:p>
    <w:p w:rsidR="0055791E" w:rsidRPr="003B1070" w:rsidRDefault="005E3C27" w:rsidP="003B1070">
      <w:pPr>
        <w:pStyle w:val="Teksttreci20"/>
        <w:shd w:val="clear" w:color="auto" w:fill="auto"/>
        <w:spacing w:after="120"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3B1070">
        <w:rPr>
          <w:rFonts w:ascii="Times New Roman" w:hAnsi="Times New Roman" w:cs="Times New Roman"/>
        </w:rPr>
        <w:t>w wyniku postępowania o udzielenie zamówienia publicznego w trybie zapytania ofertowego, została zawarta umowa następującej treści: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0673E5" w:rsidRDefault="005E3C27" w:rsidP="003B1070">
      <w:pPr>
        <w:spacing w:line="276" w:lineRule="auto"/>
        <w:contextualSpacing/>
        <w:jc w:val="both"/>
        <w:rPr>
          <w:b/>
        </w:rPr>
      </w:pPr>
      <w:r w:rsidRPr="003B1070">
        <w:rPr>
          <w:sz w:val="22"/>
          <w:szCs w:val="22"/>
        </w:rPr>
        <w:t xml:space="preserve">Podstawę zawarcia niniejszej Umowy, zwanej dalej „Umową”, stanowi udzielenie zamówienia publicznego na </w:t>
      </w:r>
      <w:r w:rsidR="000673E5">
        <w:rPr>
          <w:rFonts w:eastAsia="SimSun"/>
          <w:kern w:val="3"/>
          <w:sz w:val="22"/>
          <w:szCs w:val="22"/>
          <w:lang w:eastAsia="zh-CN" w:bidi="hi-IN"/>
        </w:rPr>
        <w:t>z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>akup i dostaw</w:t>
      </w:r>
      <w:r w:rsidR="000673E5">
        <w:rPr>
          <w:rFonts w:eastAsia="SimSun"/>
          <w:kern w:val="3"/>
          <w:sz w:val="22"/>
          <w:szCs w:val="22"/>
          <w:lang w:eastAsia="zh-CN" w:bidi="hi-IN"/>
        </w:rPr>
        <w:t>ę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="00456BB3" w:rsidRPr="00D74B2D">
        <w:rPr>
          <w:sz w:val="22"/>
          <w:szCs w:val="22"/>
        </w:rPr>
        <w:t>urządzenia kosmetycznego</w:t>
      </w:r>
      <w:r w:rsidR="00456BB3" w:rsidRPr="000673E5">
        <w:t xml:space="preserve"> </w:t>
      </w:r>
      <w:r w:rsidR="000673E5" w:rsidRPr="000673E5">
        <w:t>na potrzeby kierunku kosmetologia w</w:t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 xml:space="preserve"> PWSTE </w:t>
      </w:r>
      <w:r w:rsidR="000673E5">
        <w:rPr>
          <w:rFonts w:eastAsia="SimSun"/>
          <w:kern w:val="3"/>
          <w:sz w:val="22"/>
          <w:szCs w:val="22"/>
          <w:lang w:eastAsia="zh-CN" w:bidi="hi-IN"/>
        </w:rPr>
        <w:br/>
      </w:r>
      <w:r w:rsidR="000673E5" w:rsidRPr="000673E5">
        <w:rPr>
          <w:rFonts w:eastAsia="SimSun"/>
          <w:kern w:val="3"/>
          <w:sz w:val="22"/>
          <w:szCs w:val="22"/>
          <w:lang w:eastAsia="zh-CN" w:bidi="hi-IN"/>
        </w:rPr>
        <w:t>w Jarosławiu</w:t>
      </w:r>
      <w:r w:rsidR="000673E5">
        <w:rPr>
          <w:rFonts w:eastAsia="SimSun"/>
          <w:b/>
          <w:kern w:val="3"/>
          <w:lang w:eastAsia="zh-CN" w:bidi="hi-IN"/>
        </w:rPr>
        <w:t xml:space="preserve"> </w:t>
      </w:r>
      <w:r w:rsidRPr="003B1070">
        <w:rPr>
          <w:sz w:val="22"/>
          <w:szCs w:val="22"/>
        </w:rPr>
        <w:t>, w trybie zapytania ofertowego, nr sprawy</w:t>
      </w:r>
      <w:r w:rsidR="00396FF1" w:rsidRPr="003B1070">
        <w:rPr>
          <w:sz w:val="22"/>
          <w:szCs w:val="22"/>
        </w:rPr>
        <w:t xml:space="preserve"> </w:t>
      </w:r>
      <w:r w:rsidR="00396FF1" w:rsidRPr="000673E5">
        <w:rPr>
          <w:sz w:val="22"/>
          <w:szCs w:val="22"/>
        </w:rPr>
        <w:t>DAG/ZO/</w:t>
      </w:r>
      <w:r w:rsidR="000673E5" w:rsidRPr="000673E5">
        <w:rPr>
          <w:sz w:val="22"/>
          <w:szCs w:val="22"/>
        </w:rPr>
        <w:t>3</w:t>
      </w:r>
      <w:r w:rsidR="00456BB3">
        <w:rPr>
          <w:sz w:val="22"/>
          <w:szCs w:val="22"/>
        </w:rPr>
        <w:t>7</w:t>
      </w:r>
      <w:r w:rsidR="00396FF1" w:rsidRPr="000673E5">
        <w:rPr>
          <w:sz w:val="22"/>
          <w:szCs w:val="22"/>
        </w:rPr>
        <w:t>/0</w:t>
      </w:r>
      <w:r w:rsidR="002F3BE6">
        <w:rPr>
          <w:sz w:val="22"/>
          <w:szCs w:val="22"/>
        </w:rPr>
        <w:t>9</w:t>
      </w:r>
      <w:r w:rsidR="00396FF1" w:rsidRPr="000673E5">
        <w:rPr>
          <w:sz w:val="22"/>
          <w:szCs w:val="22"/>
        </w:rPr>
        <w:t>/22</w:t>
      </w:r>
      <w:r w:rsidR="000673E5">
        <w:rPr>
          <w:sz w:val="22"/>
          <w:szCs w:val="22"/>
        </w:rPr>
        <w:t>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1.</w:t>
      </w:r>
    </w:p>
    <w:p w:rsidR="0055791E" w:rsidRPr="003B1070" w:rsidRDefault="005E3C27" w:rsidP="000673E5">
      <w:p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Przedmiotem niniejszej Umowy jest </w:t>
      </w:r>
      <w:r w:rsidR="000673E5">
        <w:rPr>
          <w:sz w:val="22"/>
          <w:szCs w:val="22"/>
        </w:rPr>
        <w:t xml:space="preserve">zakup i </w:t>
      </w:r>
      <w:r w:rsidRPr="003B1070">
        <w:rPr>
          <w:bCs/>
          <w:sz w:val="22"/>
          <w:szCs w:val="22"/>
        </w:rPr>
        <w:t xml:space="preserve">dostawa </w:t>
      </w:r>
      <w:bookmarkStart w:id="0" w:name="_Hlk108072958"/>
      <w:r w:rsidR="00456BB3">
        <w:rPr>
          <w:w w:val="105"/>
        </w:rPr>
        <w:t>e</w:t>
      </w:r>
      <w:r w:rsidR="00456BB3" w:rsidRPr="00D74B2D">
        <w:rPr>
          <w:w w:val="105"/>
        </w:rPr>
        <w:t>ndermomasażer</w:t>
      </w:r>
      <w:r w:rsidR="00456BB3">
        <w:rPr>
          <w:w w:val="105"/>
        </w:rPr>
        <w:t>a</w:t>
      </w:r>
      <w:r w:rsidR="00456BB3" w:rsidRPr="00D74B2D">
        <w:rPr>
          <w:w w:val="105"/>
        </w:rPr>
        <w:t xml:space="preserve"> mobiln</w:t>
      </w:r>
      <w:r w:rsidR="00456BB3">
        <w:rPr>
          <w:w w:val="105"/>
        </w:rPr>
        <w:t>ego</w:t>
      </w:r>
      <w:r w:rsidR="00456BB3" w:rsidRPr="00D74B2D">
        <w:rPr>
          <w:w w:val="105"/>
        </w:rPr>
        <w:t xml:space="preserve"> z technologią fal radiowych oraz lipolaser</w:t>
      </w:r>
      <w:bookmarkEnd w:id="0"/>
      <w:r w:rsidR="00456BB3" w:rsidRPr="00D74B2D">
        <w:rPr>
          <w:w w:val="105"/>
        </w:rPr>
        <w:t>em</w:t>
      </w:r>
      <w:r w:rsidR="00456BB3" w:rsidRPr="003B1070">
        <w:rPr>
          <w:sz w:val="22"/>
          <w:szCs w:val="22"/>
        </w:rPr>
        <w:t xml:space="preserve"> </w:t>
      </w:r>
      <w:r w:rsidRPr="003B1070">
        <w:rPr>
          <w:sz w:val="22"/>
          <w:szCs w:val="22"/>
        </w:rPr>
        <w:t>zgodnie z ofertą z dnia .........................r., która stanowi integralną część umowy.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2.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oświadcza, iż posiada wszelkie uprawnienia niezbędne do realizacji niniejszej umowy.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oświadcza, że posiada odpowiednie środki i warunki techniczne potrzebne do realizacji umowy.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nie może bez zgody Zamawiającego powierzyć wykonania niniejszej umowy osobie trzeciej.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3.</w:t>
      </w:r>
    </w:p>
    <w:p w:rsidR="0055791E" w:rsidRPr="00AF674E" w:rsidRDefault="0013173F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Dostawa będzie zrealizowana </w:t>
      </w:r>
      <w:r w:rsidRPr="00AF674E">
        <w:rPr>
          <w:sz w:val="22"/>
          <w:szCs w:val="22"/>
        </w:rPr>
        <w:t xml:space="preserve">do </w:t>
      </w:r>
      <w:r w:rsidR="002F3BE6">
        <w:rPr>
          <w:sz w:val="22"/>
          <w:szCs w:val="22"/>
        </w:rPr>
        <w:t>12</w:t>
      </w:r>
      <w:r w:rsidRPr="00AF674E">
        <w:rPr>
          <w:sz w:val="22"/>
          <w:szCs w:val="22"/>
        </w:rPr>
        <w:t xml:space="preserve"> </w:t>
      </w:r>
      <w:r w:rsidR="002F3BE6">
        <w:rPr>
          <w:sz w:val="22"/>
          <w:szCs w:val="22"/>
        </w:rPr>
        <w:t>października</w:t>
      </w:r>
      <w:bookmarkStart w:id="1" w:name="_GoBack"/>
      <w:bookmarkEnd w:id="1"/>
      <w:r w:rsidRPr="00AF674E">
        <w:rPr>
          <w:sz w:val="22"/>
          <w:szCs w:val="22"/>
        </w:rPr>
        <w:t xml:space="preserve"> 2022</w:t>
      </w:r>
      <w:r w:rsidR="000673E5">
        <w:rPr>
          <w:sz w:val="22"/>
          <w:szCs w:val="22"/>
        </w:rPr>
        <w:t xml:space="preserve"> </w:t>
      </w:r>
      <w:r w:rsidRPr="00AF674E">
        <w:rPr>
          <w:sz w:val="22"/>
          <w:szCs w:val="22"/>
        </w:rPr>
        <w:t>r</w:t>
      </w:r>
      <w:r w:rsidR="000673E5">
        <w:rPr>
          <w:sz w:val="22"/>
          <w:szCs w:val="22"/>
        </w:rPr>
        <w:t>.</w:t>
      </w:r>
    </w:p>
    <w:p w:rsidR="0055791E" w:rsidRPr="003B1070" w:rsidRDefault="005E3C27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Termin, o którym mowa w ust. 1, obejmuje dostawę oraz odbiór przedmiotu Umowy bez zastrzeżeń. </w:t>
      </w:r>
    </w:p>
    <w:p w:rsidR="0055791E" w:rsidRPr="003B1070" w:rsidRDefault="005E3C27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jest zobowiązany zawiadomić Zamawiającego o planowanym terminie dostawy z co najmniej 2 - dniowym wyprzedzeniem.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4.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Zapłata wynagrodzenia Wykonawcy nastąpi po zrealizowaniu dostawy Zamawiającemu, co musi zostać potwierdzone podpisaniem protokołu odbioru bez zastrzeżeń.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Po czynnościach, o których mowa w ust. 1 oraz podpisaniu przez Strony protokołu odbioru bez zastrzeżeń zostanie wystawiona faktura.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wykonanie przedmiotu Umowy Wykonawcy przysługuje wynagrodzenie w wysokości: ………… złotych brutto (słownie: …………………………………)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Wskazana wyżej kwota zawiera podatek VAT.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Wynagrodzenie Wykonawcy obejmuje wszystkie koszty związane z realizacją przedmiotu umowy. 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Należność, o której mowa w ust. 1 Zamawiający wypłaci Wykonawcy przelewem na rachunek bankowy w terminie 21 dni od dnia otrzymania faktury prawidłowo wystawionej przez Wykonawcę, a przyjętej przez Zamawiającego, na podstawie protokołu odbioru Przedmiotu Umowy podpisanego przez Zamawiającego bez zastrzeżeń.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postanawiają, iż za dzień zapłaty uważa się dzień obciążenia rachunku bankowego Zamawiającego.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lastRenderedPageBreak/>
        <w:t>W przypadku nieterminowej płatności należności Wykonawca ma prawo naliczyć Zamawiającemu odsetki ustawowe za opóźnienie w zapłacie.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Zamawiającemu przysługuje prawo, w przypadku niewłaściwego wywiązywania się przez Wykonawcę z realizacji niniejszej Umowy, do wstrzymania płatności, do czasu usunięcia nieprawidłowości.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Wszelkie rozliczenia między Zamawiającym a Wykonawcą będą dokonywane w złotych polskich.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5.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  <w:tab w:val="left" w:pos="1536"/>
        </w:tabs>
        <w:suppressAutoHyphens w:val="0"/>
        <w:overflowPunct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zapłaci Zamawiającemu karę umowną: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odstąpienia od umowy przez Wykonawcę z przyczyn leżących po jego stronie,</w:t>
      </w:r>
      <w:r w:rsidRPr="003B1070">
        <w:rPr>
          <w:sz w:val="22"/>
          <w:szCs w:val="22"/>
        </w:rPr>
        <w:br/>
        <w:t>w wysokości w wysokości 10% całkowitego wynagrodzenia umownego brutto, o którym mowa w § 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rozwiązanie umowy przez którąkolwiek ze Stron z przyczyn leżących po stronie Wykonawcy, w wysokości 10% całkowitego wynagrodzenia umownego brutto, o którym mowa w § 4 ust. 3 niniejszej umowy.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Naliczone przez Zamawiającego kary umowne będą potrącane z wynagrodzenia należnego Wykonawcy, na co Wykonawca wyraża zgodę i do czego upoważnia Zamawiającego bez potrzeby uzyskiwania pisemnego potwierdzenia.</w:t>
      </w:r>
    </w:p>
    <w:p w:rsidR="0055791E" w:rsidRPr="003B1070" w:rsidRDefault="005E3C27" w:rsidP="003B1070">
      <w:pPr>
        <w:pStyle w:val="Normalny1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2"/>
        </w:rPr>
      </w:pPr>
      <w:r w:rsidRPr="003B1070">
        <w:rPr>
          <w:rFonts w:ascii="Times New Roman" w:hAnsi="Times New Roman"/>
          <w:sz w:val="22"/>
        </w:rPr>
        <w:t>Z zastrzeżeniem ustępu powyższego, p</w:t>
      </w:r>
      <w:r w:rsidRPr="003B1070">
        <w:rPr>
          <w:rFonts w:ascii="Times New Roman" w:hAnsi="Times New Roman"/>
          <w:color w:val="00000A"/>
          <w:sz w:val="22"/>
        </w:rPr>
        <w:t xml:space="preserve">łatność naliczonej kary umownej nastąpi w </w:t>
      </w:r>
      <w:r w:rsidRPr="003B1070">
        <w:rPr>
          <w:rFonts w:ascii="Times New Roman" w:hAnsi="Times New Roman"/>
          <w:sz w:val="22"/>
        </w:rPr>
        <w:t xml:space="preserve">terminie 7 dni, </w:t>
      </w:r>
      <w:r w:rsidRPr="003B1070">
        <w:rPr>
          <w:rFonts w:ascii="Times New Roman" w:hAnsi="Times New Roman"/>
          <w:color w:val="00000A"/>
          <w:sz w:val="22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przypadku opóźnienia w zapłacie, danej Stronie przysługują odsetki ustawowe.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Suma kar umownych z wszystkich tytułów nie może przekroczyć wynagrodzenia brutto wskazanego w paragrafie 4 ust. 3 Umowy.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6.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Zamawiający zastrzega sobie prawo odstąpienia od umowy w przypadku: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nie wykonania lub niewłaściwego wykonywania umowy przez Wykonawcę,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przerwał, z przyczyn leżących po stronie Wykonawcy realizację umowy dłużej niż 14 dni,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lastRenderedPageBreak/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7.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Wszelkie zmiany i uzupełnienia niniejszej Umowy mogą być dokonywane wyłącznie </w:t>
      </w:r>
      <w:r w:rsidRPr="003B1070">
        <w:rPr>
          <w:sz w:val="22"/>
          <w:szCs w:val="22"/>
        </w:rPr>
        <w:br/>
        <w:t>w formie pisemnej, pod rygorem nieważności.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dopuszczają możliwość zmiany postanowień umowy w następujących przypadkach: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przejścia praw lub obowiązków Wykonawcy wynikających z niniejszej Umowy </w:t>
      </w:r>
      <w:r w:rsidRPr="003B1070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3B1070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 xml:space="preserve">w przypadku gdy nastąpi </w:t>
      </w:r>
      <w:r w:rsidRPr="003B1070">
        <w:rPr>
          <w:sz w:val="22"/>
          <w:szCs w:val="22"/>
        </w:rPr>
        <w:t xml:space="preserve">zmiana stawki podatku VAT w odniesieniu do usług przewidzianych niniejszą umową, </w:t>
      </w:r>
      <w:r w:rsidRPr="003B1070">
        <w:rPr>
          <w:bCs/>
          <w:sz w:val="22"/>
          <w:szCs w:val="22"/>
        </w:rPr>
        <w:t xml:space="preserve">– </w:t>
      </w:r>
      <w:r w:rsidRPr="003B1070"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zmiany terminu realizacji umowy: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gdy zmiana postanowień umownych jest korzystna dla Zamawiającego.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Zamawiający przewiduje zmiany w przypadku, gdy przedmiot zamówienia zaoferowany w ofercie zostanie wycofany z produkcji lub dystrybucji i nie jest dostępny na rynku. Zamawiający dopuszcza możliwość zamiany przedmiotu zamówienia na wersję 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 z oświadczeniem o wycofaniu z produkcji lub dystrybucji zaoferowanego przedmiotu zamówienia z jednoczesną propozycją zmian.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0673E5" w:rsidRDefault="000673E5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0673E5" w:rsidRDefault="000673E5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lastRenderedPageBreak/>
        <w:t>§ 8.</w:t>
      </w:r>
    </w:p>
    <w:p w:rsidR="0055791E" w:rsidRPr="003B1070" w:rsidRDefault="005E3C27" w:rsidP="003B1070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55791E" w:rsidRPr="003B1070" w:rsidRDefault="005E3C27" w:rsidP="003B1070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55791E" w:rsidRPr="003B1070" w:rsidRDefault="0055791E" w:rsidP="000673E5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 xml:space="preserve">§ </w:t>
      </w:r>
      <w:r w:rsidR="000673E5">
        <w:rPr>
          <w:b/>
          <w:sz w:val="22"/>
          <w:szCs w:val="22"/>
        </w:rPr>
        <w:t>9</w:t>
      </w:r>
      <w:r w:rsidRPr="003B1070">
        <w:rPr>
          <w:b/>
          <w:sz w:val="22"/>
          <w:szCs w:val="22"/>
        </w:rPr>
        <w:t>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Umowa zostaje zawarta z chwilą podpisania jej przez obie strony.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55791E" w:rsidRPr="003B1070" w:rsidRDefault="0055791E" w:rsidP="003B1070">
      <w:p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</w:p>
    <w:p w:rsidR="0055791E" w:rsidRPr="003B1070" w:rsidRDefault="0055791E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D54B5D" w:rsidRPr="003B1070" w:rsidRDefault="00D54B5D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D54B5D" w:rsidRPr="003B1070" w:rsidRDefault="00D54B5D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55791E" w:rsidRPr="003B1070" w:rsidRDefault="0055791E" w:rsidP="003B1070">
      <w:pPr>
        <w:spacing w:line="276" w:lineRule="auto"/>
        <w:contextualSpacing/>
        <w:jc w:val="both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rPr>
          <w:sz w:val="22"/>
          <w:szCs w:val="22"/>
        </w:rPr>
      </w:pPr>
      <w:r w:rsidRPr="003B1070">
        <w:rPr>
          <w:b/>
          <w:sz w:val="22"/>
          <w:szCs w:val="22"/>
        </w:rPr>
        <w:tab/>
        <w:t xml:space="preserve">Zamawiający: </w:t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="000673E5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>Wykonawca:</w:t>
      </w:r>
    </w:p>
    <w:sectPr w:rsidR="0055791E" w:rsidRPr="003B1070"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06E"/>
    <w:multiLevelType w:val="multilevel"/>
    <w:tmpl w:val="649E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55770"/>
    <w:multiLevelType w:val="multilevel"/>
    <w:tmpl w:val="F17CDF1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ABA1125"/>
    <w:multiLevelType w:val="multilevel"/>
    <w:tmpl w:val="D51657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57474"/>
    <w:multiLevelType w:val="multilevel"/>
    <w:tmpl w:val="94C0FC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CE55DD"/>
    <w:multiLevelType w:val="multilevel"/>
    <w:tmpl w:val="6B66B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3157"/>
    <w:multiLevelType w:val="multilevel"/>
    <w:tmpl w:val="3028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786F51"/>
    <w:multiLevelType w:val="multilevel"/>
    <w:tmpl w:val="811A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4230E"/>
    <w:multiLevelType w:val="multilevel"/>
    <w:tmpl w:val="16BEE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12C6DF9"/>
    <w:multiLevelType w:val="multilevel"/>
    <w:tmpl w:val="148A6B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C677E"/>
    <w:multiLevelType w:val="multilevel"/>
    <w:tmpl w:val="362A3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F182920"/>
    <w:multiLevelType w:val="multilevel"/>
    <w:tmpl w:val="D7F0D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60615A"/>
    <w:multiLevelType w:val="multilevel"/>
    <w:tmpl w:val="2DC69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32A4"/>
    <w:multiLevelType w:val="multilevel"/>
    <w:tmpl w:val="FA5E7C2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eastAsia="Times New Roman" w:cs="Times New Roman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E"/>
    <w:rsid w:val="00013F05"/>
    <w:rsid w:val="00062EBA"/>
    <w:rsid w:val="000673E5"/>
    <w:rsid w:val="0013173F"/>
    <w:rsid w:val="002F3BE6"/>
    <w:rsid w:val="00396FF1"/>
    <w:rsid w:val="003B1070"/>
    <w:rsid w:val="00456BB3"/>
    <w:rsid w:val="0055791E"/>
    <w:rsid w:val="005E3C27"/>
    <w:rsid w:val="006C0F62"/>
    <w:rsid w:val="008D5BC8"/>
    <w:rsid w:val="009B6A0D"/>
    <w:rsid w:val="00A01FD6"/>
    <w:rsid w:val="00AF674E"/>
    <w:rsid w:val="00D54B5D"/>
    <w:rsid w:val="00E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AB9B"/>
  <w15:docId w15:val="{4B790FC6-45EB-4D26-97B5-F43F94D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21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421E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locked/>
    <w:rsid w:val="00CC421E"/>
    <w:rPr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CC421E"/>
    <w:rPr>
      <w:shd w:val="clear" w:color="auto" w:fill="FFFFFF"/>
    </w:rPr>
  </w:style>
  <w:style w:type="character" w:customStyle="1" w:styleId="Teksttreci2Pogrubienie">
    <w:name w:val="Tekst treści (2) + Pogrubienie"/>
    <w:qFormat/>
    <w:rsid w:val="00CC421E"/>
    <w:rPr>
      <w:i w:val="0"/>
      <w:iCs w:val="0"/>
      <w:caps w:val="0"/>
      <w:smallCaps w:val="0"/>
      <w:color w:val="000000"/>
      <w:spacing w:val="0"/>
      <w:w w:val="100"/>
      <w:sz w:val="24"/>
      <w:szCs w:val="24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qFormat/>
    <w:rsid w:val="00CC421E"/>
    <w:rPr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qFormat/>
    <w:rsid w:val="00B317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AE6712"/>
    <w:rPr>
      <w:i/>
      <w:iCs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 w:val="0"/>
      <w:i w:val="0"/>
      <w:sz w:val="22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b w:val="0"/>
      <w:i w:val="0"/>
      <w:sz w:val="22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Arial Narrow" w:cs="Arial Narrow"/>
      <w:b w:val="0"/>
      <w:color w:val="000000"/>
      <w:position w:val="0"/>
      <w:sz w:val="22"/>
      <w:szCs w:val="22"/>
      <w:vertAlign w:val="baseline"/>
    </w:rPr>
  </w:style>
  <w:style w:type="character" w:customStyle="1" w:styleId="ListLabel42">
    <w:name w:val="ListLabel 42"/>
    <w:qFormat/>
    <w:rPr>
      <w:position w:val="0"/>
      <w:sz w:val="22"/>
      <w:szCs w:val="22"/>
      <w:vertAlign w:val="baseline"/>
    </w:rPr>
  </w:style>
  <w:style w:type="character" w:customStyle="1" w:styleId="ListLabel43">
    <w:name w:val="ListLabel 43"/>
    <w:qFormat/>
    <w:rPr>
      <w:position w:val="0"/>
      <w:sz w:val="22"/>
      <w:szCs w:val="22"/>
      <w:vertAlign w:val="baseline"/>
    </w:rPr>
  </w:style>
  <w:style w:type="character" w:customStyle="1" w:styleId="ListLabel44">
    <w:name w:val="ListLabel 44"/>
    <w:qFormat/>
    <w:rPr>
      <w:position w:val="0"/>
      <w:sz w:val="22"/>
      <w:szCs w:val="22"/>
      <w:vertAlign w:val="baseline"/>
    </w:rPr>
  </w:style>
  <w:style w:type="character" w:customStyle="1" w:styleId="ListLabel45">
    <w:name w:val="ListLabel 45"/>
    <w:qFormat/>
    <w:rPr>
      <w:position w:val="0"/>
      <w:sz w:val="22"/>
      <w:szCs w:val="22"/>
      <w:vertAlign w:val="baseline"/>
    </w:rPr>
  </w:style>
  <w:style w:type="character" w:customStyle="1" w:styleId="ListLabel46">
    <w:name w:val="ListLabel 46"/>
    <w:qFormat/>
    <w:rPr>
      <w:position w:val="0"/>
      <w:sz w:val="22"/>
      <w:szCs w:val="22"/>
      <w:vertAlign w:val="baseline"/>
    </w:rPr>
  </w:style>
  <w:style w:type="character" w:customStyle="1" w:styleId="ListLabel47">
    <w:name w:val="ListLabel 47"/>
    <w:qFormat/>
    <w:rPr>
      <w:position w:val="0"/>
      <w:sz w:val="22"/>
      <w:szCs w:val="22"/>
      <w:vertAlign w:val="baseline"/>
    </w:rPr>
  </w:style>
  <w:style w:type="character" w:customStyle="1" w:styleId="ListLabel48">
    <w:name w:val="ListLabel 48"/>
    <w:qFormat/>
    <w:rPr>
      <w:position w:val="0"/>
      <w:sz w:val="22"/>
      <w:szCs w:val="22"/>
      <w:vertAlign w:val="baseline"/>
    </w:rPr>
  </w:style>
  <w:style w:type="character" w:customStyle="1" w:styleId="ListLabel49">
    <w:name w:val="ListLabel 49"/>
    <w:qFormat/>
    <w:rPr>
      <w:position w:val="0"/>
      <w:sz w:val="22"/>
      <w:szCs w:val="22"/>
      <w:vertAlign w:val="baseline"/>
    </w:rPr>
  </w:style>
  <w:style w:type="character" w:customStyle="1" w:styleId="ListLabel50">
    <w:name w:val="ListLabel 50"/>
    <w:qFormat/>
    <w:rPr>
      <w:rFonts w:eastAsia="Arial Narrow" w:cs="Times New Roman"/>
      <w:position w:val="0"/>
      <w:sz w:val="22"/>
      <w:szCs w:val="22"/>
      <w:vertAlign w:val="baseline"/>
    </w:rPr>
  </w:style>
  <w:style w:type="character" w:customStyle="1" w:styleId="ListLabel51">
    <w:name w:val="ListLabel 51"/>
    <w:qFormat/>
    <w:rPr>
      <w:position w:val="0"/>
      <w:sz w:val="24"/>
      <w:vertAlign w:val="baseline"/>
    </w:rPr>
  </w:style>
  <w:style w:type="character" w:customStyle="1" w:styleId="ListLabel52">
    <w:name w:val="ListLabel 52"/>
    <w:qFormat/>
    <w:rPr>
      <w:position w:val="0"/>
      <w:sz w:val="24"/>
      <w:vertAlign w:val="baseline"/>
    </w:rPr>
  </w:style>
  <w:style w:type="character" w:customStyle="1" w:styleId="ListLabel53">
    <w:name w:val="ListLabel 53"/>
    <w:qFormat/>
    <w:rPr>
      <w:position w:val="0"/>
      <w:sz w:val="24"/>
      <w:vertAlign w:val="baseline"/>
    </w:rPr>
  </w:style>
  <w:style w:type="character" w:customStyle="1" w:styleId="ListLabel54">
    <w:name w:val="ListLabel 54"/>
    <w:qFormat/>
    <w:rPr>
      <w:position w:val="0"/>
      <w:sz w:val="24"/>
      <w:vertAlign w:val="baseline"/>
    </w:rPr>
  </w:style>
  <w:style w:type="character" w:customStyle="1" w:styleId="ListLabel55">
    <w:name w:val="ListLabel 55"/>
    <w:qFormat/>
    <w:rPr>
      <w:position w:val="0"/>
      <w:sz w:val="24"/>
      <w:vertAlign w:val="baseline"/>
    </w:rPr>
  </w:style>
  <w:style w:type="character" w:customStyle="1" w:styleId="ListLabel56">
    <w:name w:val="ListLabel 56"/>
    <w:qFormat/>
    <w:rPr>
      <w:position w:val="0"/>
      <w:sz w:val="24"/>
      <w:vertAlign w:val="baseline"/>
    </w:rPr>
  </w:style>
  <w:style w:type="character" w:customStyle="1" w:styleId="ListLabel57">
    <w:name w:val="ListLabel 57"/>
    <w:qFormat/>
    <w:rPr>
      <w:position w:val="0"/>
      <w:sz w:val="24"/>
      <w:vertAlign w:val="baseline"/>
    </w:rPr>
  </w:style>
  <w:style w:type="character" w:customStyle="1" w:styleId="ListLabel58">
    <w:name w:val="ListLabel 58"/>
    <w:qFormat/>
    <w:rPr>
      <w:position w:val="0"/>
      <w:sz w:val="24"/>
      <w:vertAlign w:val="baseline"/>
    </w:rPr>
  </w:style>
  <w:style w:type="character" w:customStyle="1" w:styleId="ListLabel59">
    <w:name w:val="ListLabel 59"/>
    <w:qFormat/>
    <w:rPr>
      <w:b/>
      <w:sz w:val="22"/>
    </w:rPr>
  </w:style>
  <w:style w:type="character" w:customStyle="1" w:styleId="ListLabel60">
    <w:name w:val="ListLabel 60"/>
    <w:qFormat/>
    <w:rPr>
      <w:b w:val="0"/>
      <w:i w:val="0"/>
      <w:sz w:val="22"/>
    </w:rPr>
  </w:style>
  <w:style w:type="character" w:customStyle="1" w:styleId="ListLabel61">
    <w:name w:val="ListLabel 61"/>
    <w:qFormat/>
    <w:rPr>
      <w:rFonts w:cs="Liberation Serif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b w:val="0"/>
      <w:i w:val="0"/>
      <w:sz w:val="22"/>
    </w:rPr>
  </w:style>
  <w:style w:type="character" w:customStyle="1" w:styleId="ListLabel71">
    <w:name w:val="ListLabel 71"/>
    <w:qFormat/>
    <w:rPr>
      <w:sz w:val="20"/>
      <w:szCs w:val="2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421E"/>
    <w:pPr>
      <w:suppressAutoHyphens w:val="0"/>
    </w:pPr>
    <w:rPr>
      <w:rFonts w:eastAsia="Arial Unicode MS" w:cs="Arial Unicode MS"/>
      <w:color w:val="000000"/>
      <w:sz w:val="20"/>
      <w:szCs w:val="20"/>
      <w:u w:color="000000"/>
      <w:lang w:eastAsia="pl-PL"/>
    </w:rPr>
  </w:style>
  <w:style w:type="paragraph" w:customStyle="1" w:styleId="Normalny1">
    <w:name w:val="Normalny1"/>
    <w:uiPriority w:val="99"/>
    <w:qFormat/>
    <w:rsid w:val="00CC421E"/>
    <w:pPr>
      <w:suppressAutoHyphens/>
      <w:spacing w:after="200" w:line="276" w:lineRule="auto"/>
    </w:pPr>
    <w:rPr>
      <w:rFonts w:cs="Times New Roman"/>
      <w:sz w:val="24"/>
    </w:rPr>
  </w:style>
  <w:style w:type="paragraph" w:customStyle="1" w:styleId="Teksttreci20">
    <w:name w:val="Tekst treści (2)"/>
    <w:basedOn w:val="Normalny"/>
    <w:link w:val="Teksttreci2"/>
    <w:qFormat/>
    <w:rsid w:val="00CC421E"/>
    <w:pPr>
      <w:widowControl w:val="0"/>
      <w:shd w:val="clear" w:color="auto" w:fill="FFFFFF"/>
      <w:suppressAutoHyphens w:val="0"/>
      <w:spacing w:after="300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qFormat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andard">
    <w:name w:val="Standard"/>
    <w:qFormat/>
    <w:rsid w:val="00975600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qFormat/>
    <w:rsid w:val="00B317DF"/>
    <w:pPr>
      <w:suppressAutoHyphens w:val="0"/>
    </w:pPr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1633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dc:description/>
  <cp:lastModifiedBy>Ewelina Krzyżanowska</cp:lastModifiedBy>
  <cp:revision>12</cp:revision>
  <cp:lastPrinted>2022-03-21T12:32:00Z</cp:lastPrinted>
  <dcterms:created xsi:type="dcterms:W3CDTF">2022-03-21T06:54:00Z</dcterms:created>
  <dcterms:modified xsi:type="dcterms:W3CDTF">2022-09-09T10:39:00Z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