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4A" w:rsidRDefault="00AB6C5C" w:rsidP="003F563E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Postępowanie nr : </w:t>
      </w:r>
      <w:r w:rsidRPr="00F55409">
        <w:rPr>
          <w:rFonts w:ascii="Times New Roman" w:eastAsia="Times New Roman" w:hAnsi="Times New Roman" w:cs="Times New Roman"/>
          <w:color w:val="auto"/>
          <w:lang w:eastAsia="ar-SA"/>
        </w:rPr>
        <w:t>DAG</w:t>
      </w:r>
      <w:r w:rsidR="0092688E" w:rsidRPr="00F55409">
        <w:rPr>
          <w:rFonts w:ascii="Times New Roman" w:eastAsia="Times New Roman" w:hAnsi="Times New Roman" w:cs="Times New Roman"/>
          <w:color w:val="auto"/>
          <w:lang w:eastAsia="ar-SA"/>
        </w:rPr>
        <w:t>/PN/</w:t>
      </w:r>
      <w:r w:rsidR="008B096B" w:rsidRPr="00F55409">
        <w:rPr>
          <w:rFonts w:ascii="Times New Roman" w:eastAsia="Times New Roman" w:hAnsi="Times New Roman" w:cs="Times New Roman"/>
          <w:color w:val="auto"/>
          <w:lang w:eastAsia="ar-SA"/>
        </w:rPr>
        <w:t>13</w:t>
      </w:r>
      <w:r w:rsidRPr="00F55409">
        <w:rPr>
          <w:rFonts w:ascii="Times New Roman" w:eastAsia="Times New Roman" w:hAnsi="Times New Roman" w:cs="Times New Roman"/>
          <w:color w:val="auto"/>
          <w:lang w:eastAsia="ar-SA"/>
        </w:rPr>
        <w:t>/</w:t>
      </w:r>
      <w:r w:rsidR="0081204A" w:rsidRPr="00F55409">
        <w:rPr>
          <w:rFonts w:ascii="Times New Roman" w:eastAsia="Times New Roman" w:hAnsi="Times New Roman" w:cs="Times New Roman"/>
          <w:color w:val="auto"/>
          <w:lang w:eastAsia="ar-SA"/>
        </w:rPr>
        <w:t>18</w:t>
      </w:r>
    </w:p>
    <w:p w:rsidR="003F563E" w:rsidRPr="003F563E" w:rsidRDefault="003F563E" w:rsidP="003F563E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6"/>
          <w:szCs w:val="6"/>
          <w:lang w:eastAsia="ar-SA"/>
        </w:rPr>
      </w:pPr>
    </w:p>
    <w:p w:rsidR="0081204A" w:rsidRPr="0081204A" w:rsidRDefault="0081204A" w:rsidP="0081204A">
      <w:pPr>
        <w:rPr>
          <w:rFonts w:ascii="Calibri" w:eastAsia="Calibri" w:hAnsi="Calibri" w:cs="Calibri"/>
          <w:b/>
          <w:color w:val="auto"/>
          <w:sz w:val="28"/>
        </w:rPr>
      </w:pPr>
      <w:r w:rsidRPr="0081204A">
        <w:rPr>
          <w:rFonts w:ascii="Calibri" w:eastAsia="Calibri" w:hAnsi="Calibri" w:cs="Calibri"/>
          <w:b/>
          <w:color w:val="auto"/>
          <w:sz w:val="28"/>
        </w:rPr>
        <w:t>Załącznik nr 1</w:t>
      </w:r>
    </w:p>
    <w:p w:rsidR="0081204A" w:rsidRPr="0081204A" w:rsidRDefault="0081204A" w:rsidP="0081204A">
      <w:pPr>
        <w:rPr>
          <w:rFonts w:ascii="Calibri" w:eastAsia="Calibri" w:hAnsi="Calibri" w:cs="Calibri"/>
          <w:color w:val="auto"/>
          <w:sz w:val="28"/>
        </w:rPr>
      </w:pPr>
      <w:r w:rsidRPr="0081204A">
        <w:rPr>
          <w:rFonts w:ascii="Calibri" w:eastAsia="Calibri" w:hAnsi="Calibri" w:cs="Calibri"/>
          <w:color w:val="auto"/>
          <w:sz w:val="28"/>
        </w:rPr>
        <w:t>Szczegółowy opis przedmiotu zamówienia</w:t>
      </w:r>
    </w:p>
    <w:p w:rsidR="0081204A" w:rsidRDefault="0081204A" w:rsidP="0081204A">
      <w:pPr>
        <w:rPr>
          <w:rFonts w:ascii="Calibri" w:eastAsia="Calibri" w:hAnsi="Calibri" w:cs="Calibri"/>
          <w:b/>
          <w:color w:val="auto"/>
          <w:sz w:val="28"/>
        </w:rPr>
      </w:pPr>
      <w:r w:rsidRPr="0081204A">
        <w:rPr>
          <w:rFonts w:ascii="Calibri" w:eastAsia="Calibri" w:hAnsi="Calibri" w:cs="Calibri"/>
          <w:b/>
          <w:color w:val="auto"/>
          <w:sz w:val="28"/>
        </w:rPr>
        <w:t xml:space="preserve">Laboratorium </w:t>
      </w:r>
      <w:proofErr w:type="spellStart"/>
      <w:r w:rsidR="008B096B">
        <w:rPr>
          <w:rFonts w:ascii="Calibri" w:eastAsia="Calibri" w:hAnsi="Calibri" w:cs="Calibri"/>
          <w:b/>
          <w:color w:val="auto"/>
          <w:sz w:val="28"/>
        </w:rPr>
        <w:t>Telemedycyny</w:t>
      </w:r>
      <w:proofErr w:type="spellEnd"/>
      <w:r w:rsidR="008B096B">
        <w:rPr>
          <w:rFonts w:ascii="Calibri" w:eastAsia="Calibri" w:hAnsi="Calibri" w:cs="Calibri"/>
          <w:b/>
          <w:color w:val="auto"/>
          <w:sz w:val="28"/>
        </w:rPr>
        <w:t xml:space="preserve"> i </w:t>
      </w:r>
      <w:proofErr w:type="spellStart"/>
      <w:r w:rsidR="008B096B">
        <w:rPr>
          <w:rFonts w:ascii="Calibri" w:eastAsia="Calibri" w:hAnsi="Calibri" w:cs="Calibri"/>
          <w:b/>
          <w:color w:val="auto"/>
          <w:sz w:val="28"/>
        </w:rPr>
        <w:t>Teleopieki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2080"/>
        <w:gridCol w:w="6144"/>
      </w:tblGrid>
      <w:tr w:rsidR="009E5A46" w:rsidRPr="009E5A46" w:rsidTr="009E5A46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b/>
                <w:bCs/>
                <w:color w:val="auto"/>
                <w:kern w:val="1"/>
                <w:sz w:val="24"/>
                <w:szCs w:val="24"/>
              </w:rPr>
              <w:t>Lp.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b/>
                <w:bCs/>
                <w:color w:val="auto"/>
                <w:kern w:val="1"/>
                <w:sz w:val="24"/>
                <w:szCs w:val="24"/>
              </w:rPr>
              <w:t>Nazwa sprzętu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b/>
                <w:bCs/>
                <w:color w:val="auto"/>
                <w:kern w:val="1"/>
                <w:sz w:val="24"/>
                <w:szCs w:val="24"/>
              </w:rPr>
              <w:t>Opis</w:t>
            </w:r>
          </w:p>
        </w:tc>
      </w:tr>
      <w:tr w:rsidR="009E5A46" w:rsidRPr="009E5A46" w:rsidTr="00A432FC">
        <w:trPr>
          <w:trHeight w:val="2635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A432FC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 xml:space="preserve">Opaska </w:t>
            </w:r>
            <w:proofErr w:type="spellStart"/>
            <w:r>
              <w:rPr>
                <w:rFonts w:ascii="Calibri" w:eastAsia="Times New Roman" w:hAnsi="Calibri" w:cs="Times New Roman"/>
                <w:color w:val="auto"/>
                <w:kern w:val="1"/>
              </w:rPr>
              <w:t>telemedyczna</w:t>
            </w:r>
            <w:proofErr w:type="spellEnd"/>
            <w:r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wraz z </w:t>
            </w:r>
            <w:r w:rsidRPr="00A432FC">
              <w:rPr>
                <w:rFonts w:ascii="Calibri" w:eastAsia="Times New Roman" w:hAnsi="Calibri" w:cs="Times New Roman"/>
                <w:color w:val="auto"/>
                <w:kern w:val="1"/>
              </w:rPr>
              <w:t>kartą SIM (Data + Głos)</w:t>
            </w:r>
          </w:p>
          <w:p w:rsidR="009E5A46" w:rsidRPr="00A432FC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(50 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Wodoodporna opaska na rękę dla osoby w podeszłym wieku, niepełnosprawnej, schorowanej.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Prostota obsługi.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Co najmniej przycisk - SOS wywołujący połączenie z zaprogramowanym numerem. Zalecane rozwiązanie zabezpieczające przed przypadkowym naciśnięciem przycisku.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Możliwość prowadzenia rozmowy z opaski w sytuacji awaryjnej z zaprogramowanym numerem centrum.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Gniazdo karty SIM.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 xml:space="preserve">Uśredniona pojemność baterii wystarczająca na minimum 72 godziny czuwania oraz minimum 100 minut rozmowy. 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W komplecie ładowarka. Nie obligatoryjne, ale zalecane ładowanie indukcyjne, bez kabla podłączeniowego.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Żywotność baterii co najmniej 5 lat od dnia podpisania protokołu odbioru końcowego. Jeżeli żywotność baterii jest krótsza, wykonawca powinien przewidzieć ich wymianę w ramach zamówienia bez dodatkowej opłaty.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Możliwość monitorowania stanu naładowania baterii opasek.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 xml:space="preserve">Możliwość detekcji upadku. </w:t>
            </w:r>
          </w:p>
          <w:p w:rsidR="00A432FC" w:rsidRPr="00A432FC" w:rsidRDefault="00A432FC" w:rsidP="00A432FC">
            <w:pPr>
              <w:numPr>
                <w:ilvl w:val="0"/>
                <w:numId w:val="18"/>
              </w:numPr>
              <w:tabs>
                <w:tab w:val="left" w:pos="4253"/>
              </w:tabs>
              <w:suppressAutoHyphens/>
              <w:spacing w:after="0" w:line="240" w:lineRule="auto"/>
              <w:ind w:left="284" w:hanging="284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Karta SIM: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 xml:space="preserve">Karty będą sukcesywnie aktywowane, na żądanie zamawiającego, aż do uzyskania liczby 50 aktywnych kart sim. Za karty nieaktywowane, zamawiający nie płaci abonamentu. 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Taryfa no limit na sms i połączenia krajowe na wszystkich kartach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Transfer danych do 3 GB/miesiąc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Możliwe zamówienia uzupełniające na aktywacje nowych usług w tej samej stawce i specyfikacji usług co w ofercie pierwotnej, będzie możliwe w każdym czasie obowiązywania umowy.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Naliczanie sekundowe od pierwszej sekundy połączenia.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Usługa identyfikacji numeru przychodzącego.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Powiadomienie o próbie połączenia.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 xml:space="preserve">Włączanie i wyłączanie usługi </w:t>
            </w:r>
            <w:proofErr w:type="spellStart"/>
            <w:r w:rsidRPr="00A432FC">
              <w:rPr>
                <w:rFonts w:eastAsia="Times New Roman"/>
                <w:sz w:val="20"/>
                <w:szCs w:val="20"/>
              </w:rPr>
              <w:t>roamingu</w:t>
            </w:r>
            <w:proofErr w:type="spellEnd"/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Bezpłatna blokada połączeń o podwyższonych opłatach PREMIUM na życzenie klienta.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Możliwość ograniczenia wykonywania połączeń z kart sim do zamkniętej grupy abonentów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Blokada reklam przychodzących.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Bezpłatny biling w formie elektronicznej</w:t>
            </w:r>
          </w:p>
          <w:p w:rsidR="00A432FC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Zamawiający nie dopuszcza naliczania dodatkowej opłaty za aktywację usług podstawowych będących przedmiotem oferty.</w:t>
            </w:r>
          </w:p>
          <w:p w:rsid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>Karty SIM typu muszą być kartami z możliwością wyłączenia kodu PIN</w:t>
            </w:r>
          </w:p>
          <w:p w:rsidR="009E5A46" w:rsidRPr="00A432FC" w:rsidRDefault="00A432FC" w:rsidP="00A432FC">
            <w:pPr>
              <w:numPr>
                <w:ilvl w:val="0"/>
                <w:numId w:val="19"/>
              </w:numPr>
              <w:tabs>
                <w:tab w:val="left" w:pos="4253"/>
              </w:tabs>
              <w:suppressAutoHyphens/>
              <w:spacing w:after="0" w:line="240" w:lineRule="auto"/>
              <w:ind w:left="567" w:hanging="283"/>
              <w:contextualSpacing/>
              <w:rPr>
                <w:rFonts w:eastAsia="Times New Roman"/>
                <w:sz w:val="20"/>
                <w:szCs w:val="20"/>
              </w:rPr>
            </w:pPr>
            <w:r w:rsidRPr="00A432FC">
              <w:rPr>
                <w:rFonts w:eastAsia="Times New Roman"/>
                <w:sz w:val="20"/>
                <w:szCs w:val="20"/>
              </w:rPr>
              <w:t xml:space="preserve">Karty SIM typu wieloformatowego (standard, </w:t>
            </w:r>
            <w:proofErr w:type="spellStart"/>
            <w:r w:rsidRPr="00A432FC">
              <w:rPr>
                <w:rFonts w:eastAsia="Times New Roman"/>
                <w:sz w:val="20"/>
                <w:szCs w:val="20"/>
              </w:rPr>
              <w:t>mikroSIM</w:t>
            </w:r>
            <w:proofErr w:type="spellEnd"/>
            <w:r w:rsidRPr="00A432F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432FC">
              <w:rPr>
                <w:rFonts w:eastAsia="Times New Roman"/>
                <w:sz w:val="20"/>
                <w:szCs w:val="20"/>
              </w:rPr>
              <w:t>nanoSIM</w:t>
            </w:r>
            <w:proofErr w:type="spellEnd"/>
            <w:r w:rsidRPr="00A432FC">
              <w:rPr>
                <w:rFonts w:eastAsia="Times New Roman"/>
                <w:sz w:val="20"/>
                <w:szCs w:val="20"/>
              </w:rPr>
              <w:t>).</w:t>
            </w:r>
          </w:p>
        </w:tc>
      </w:tr>
      <w:tr w:rsidR="009E5A46" w:rsidRPr="009E5A46" w:rsidTr="00A432FC">
        <w:trPr>
          <w:trHeight w:val="3180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Ciśnieniomierz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(3 szt.)</w:t>
            </w:r>
          </w:p>
        </w:tc>
        <w:tc>
          <w:tcPr>
            <w:tcW w:w="614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Zakres pomiaru ciśnienia: 20 - 280 mmHg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Zakres pomiaru pulsu: 40 – 200 uderzeń/minutę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 pomiaru ciśnienia: +/- 3 mmHg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 pomiaru pulsu: +/- 5%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Możliwość podłączenia zewnętrznego źródła zasilania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Działający z Bluetooth z wykorzystaniem profilu SPP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Możliwość integracji ciśnieniomierza z aplikacją Wykonawcy poprzez Bluetooth w szczególności: aplikacja Wykonawcy nasłuchuje (czeka) na połączenie z ciśnieniomierzem, ciśnieniomierz wysyła prośbę o identyfikację pacjenta, ciśnieniomierz odbiera wiadomość identyfikującą pacjenta, ciśnieniomierz wysyła wynik, ciśnieniomierz umożliwia zapis konfiguracji (ilość zapamiętywanych pomiarów na urządzeniu) poprzez Bluetooth</w:t>
            </w:r>
            <w:r w:rsidR="00A432FC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.</w:t>
            </w:r>
          </w:p>
        </w:tc>
      </w:tr>
      <w:tr w:rsidR="009E5A46" w:rsidRPr="009E5A46" w:rsidTr="00A432FC">
        <w:trPr>
          <w:trHeight w:val="4737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Glukometr</w:t>
            </w:r>
            <w:proofErr w:type="spellEnd"/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• Parametry testowania krwi: wielkość próbki krwi 0,5 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μL</w:t>
            </w:r>
            <w:proofErr w:type="spellEnd"/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Czas pomiaru: do 5 sekund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Możliwy pomiar: próbka krwi z naczyń włosowatych lub krwi żylnej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Paski testowe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Enzym: GDH-FAD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Brak kodowania pasków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Pamięć urządzenia: Zapamiętywanie ok. 450 pomiarów wraz z datą i godziną, AC/PC w pamięci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Funkcjonalności: 4 ustawienia dla alarmów i przypomnień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Transmisja danych: Micro USB, Bluetooth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Wyświetlacz: LCD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• Bateria: 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Litowo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-Polimerowa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Wymiary i waga urządzenia: ok. 93.0mm× 26.0mm × 5.5mm; ok. 27.0g (waga bez baterii)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Osprzęt: paski i igły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Warunki przechowywania: od -20°C do 60°C, wilgotność względna poniżej 95%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• Warunki pracy: od 10°C do 40°C, wilgotność względna poniżej 85% </w:t>
            </w:r>
          </w:p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Zakres pomiaru : 20-600mg/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dL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 (0.5-33.3mmol/L)</w:t>
            </w:r>
          </w:p>
        </w:tc>
      </w:tr>
      <w:tr w:rsidR="009E5A46" w:rsidRPr="009E5A46" w:rsidTr="001269E8">
        <w:trPr>
          <w:trHeight w:val="3827"/>
        </w:trPr>
        <w:tc>
          <w:tcPr>
            <w:tcW w:w="98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Hub Medyczny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(1 szt.)</w:t>
            </w:r>
          </w:p>
        </w:tc>
        <w:tc>
          <w:tcPr>
            <w:tcW w:w="614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Możliwość monitorowania wybranych parametrów zdrowotnych z zakresu chorób przewlekłych, zbieranych przez zintegrowane urządzenia pomiarowe oraz ich retransmisji do systemu e-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Care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. Rozwiązanie umożliwia także prowadzenie 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wideorozmów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, wprowadzanie ankiet i funkcji przypominania, ręczne wezwanie pomocy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Możliwość nieinwazyjnej metody badania (aparat działa na zasadzie tensometrycznej i akustycznej)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Urządzenie rejestruje następujące parametry: 1) temperatura ciała 2) poziom cukru we krwi 3) masa i skład ciała 4) poziom wysycenia krwi tlenem 5) objętość i pojemność płuc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Przechowywanie badań w pamięci aparatu aż do wysłania badania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Możliwość wykonywania badania w dowolnej częstotliwości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Możliwość anulowania badania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Urządzenie powinno pozwalać na prace z zasilania wewnętrznego akumulatora po odłączeniu zasilacza sieciowego przez 30 minut</w:t>
            </w:r>
          </w:p>
        </w:tc>
      </w:tr>
      <w:tr w:rsidR="009E5A46" w:rsidRPr="009E5A46" w:rsidTr="001269E8">
        <w:trPr>
          <w:trHeight w:val="3247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Pulsoksymetr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A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(3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Zakres pomiaru wysycenia tlenem: 0 – 100% SpO2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Zakres pomiaru pulsu: 20 – 250 uderzeń/minutę +/- 3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 pomiarów wysycenia tlenem: 70 – 100% SpO2 +/- 2%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 pomiarów wysycenia tlenem przy niskiej perfuzji: 70 – 100% SpO2 +/- 2%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 pomiarów pulsu przy niskiej perfuzji: . 40 – 240 uderzeń/minutę +/- 3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Możliwość transmisji danych pomiarowych za pomocą łączności Bluetooth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Możliwość integracji 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pulsoksymetru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 z aplikacją Wykonawcy poprzez Bluetooth w szczególności: aplikacja Wykonawcy nasłuchuje (czeka) na połączenie z 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pulsoksymetrem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, 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pulsoksymetr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 wysyła wynik badania</w:t>
            </w:r>
          </w:p>
        </w:tc>
      </w:tr>
      <w:tr w:rsidR="009E5A46" w:rsidRPr="009E5A46" w:rsidTr="001269E8">
        <w:trPr>
          <w:trHeight w:val="850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6.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Pulsoksymetr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B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(3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• Wymiary (bez sensora i paska): szerokość: ok. 55 mm, wysokość: ok. 75 mm, grubość: ok. 20 mm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Waga (z bateriami I paskiem): ok. 70 g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Zakres pomiaru saturacji tlenem (%SpO2): 0% do 100%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Zakres mierzonego pulsu: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18 do 300 uderzeń na minutę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Saturacja (%SpO2 +/- 1) dla wartości z przedziału 70 - 100%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W bezruchu: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 +/- 2 jednostki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Słabe krążenie krwi: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 +/- 2 jednostki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W ruchu: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 +/- 3 jednostki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Tętno: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 +/- 3 jednostki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Temperatura: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 Pracy: od -5° do +40°C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Przechowywania/</w:t>
            </w:r>
            <w:proofErr w:type="spellStart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>Transportowania:od</w:t>
            </w:r>
            <w:proofErr w:type="spellEnd"/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 -40° do +70°C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Wilgotność: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Pracy: 10% do 95%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Przechowywania/Transportowania: 10% do 95%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 xml:space="preserve">• Zasilanie: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dwie baterie 1.5V alkaiczne AAA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Żywotność baterii: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Praca bez modułu Bluetooth : minimum 48 h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Praca z modułem Bluetooth : minimum 24 h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W trybie podtrzymania: 9 miesięcy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Pamięć: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Typ: nieulotna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Pojemność: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do 1,080 h przy 4 sekundowej częstotliwości poboru danych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do 540 h przy 2 sekundowej częstotliwości poboru danych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do 270 h przy 1 sekundowej częstotliwości poboru danych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Transmisja danych: Moduł Bluetooth 2.0</w:t>
            </w:r>
          </w:p>
        </w:tc>
      </w:tr>
      <w:tr w:rsidR="009E5A46" w:rsidRPr="009E5A46" w:rsidTr="001269E8">
        <w:trPr>
          <w:trHeight w:val="3388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Spirometr diagnostyczny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(2 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eastAsia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t xml:space="preserve">• Wyświetlany pomiar wartości: FEV1, FEV6, wynik FEV1/FEV6, 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Index bezdechu obturacyjnego: łagodny, umiarkowany, ciężki (FEV1 %)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Klasyfikacja COPD: normalna (zdrowy), poziom I, II, III, IV (FEV1 % )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Pomiar wielu płuc: tak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Dokładność pomiaru: +/- 3 %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Zakres pomiaru: 0 - 9.99 L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Prezentacja wyniku na konfigurowalnej skali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Działający z Bluetooth z wykorzystaniem profilu SPP</w:t>
            </w:r>
            <w:r w:rsidRPr="009E5A46">
              <w:rPr>
                <w:rFonts w:eastAsia="Times New Roman" w:cs="Times New Roman"/>
                <w:color w:val="auto"/>
                <w:kern w:val="1"/>
                <w:sz w:val="20"/>
                <w:szCs w:val="20"/>
              </w:rPr>
              <w:br/>
              <w:t>• Możliwość integracji spirometru z aplikacją Wykonawcy poprzez Bluetooth w szczególności: 1) połączenie (parowanie) spirometru z aplikacją Wykonawcy, 2) wykonanie badania, 3) wysłanie wyników do aplikacji Wykonawcy, 4) spirometr informuje aplikację Wykonawcy o wyłączeniu</w:t>
            </w:r>
          </w:p>
        </w:tc>
      </w:tr>
      <w:tr w:rsidR="009E5A46" w:rsidRPr="009E5A46" w:rsidTr="001269E8">
        <w:trPr>
          <w:trHeight w:val="3569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8.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Symulator pacjenta SYMULATOR EKG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(3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• Przenośne urządzenie zdolne do symulacji normalnych i patologicznych serii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pobudzeń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elektrycznych mięśnia sercowego na urządzeniach monitorujących sygnał EKG w celach symulacyjnych i edukacyjnych.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Wyświetlacz: LCD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Dokładność sygnału wyjściowego dla temperatury pracy 25°C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Impedancja wyjściowa RA, LA, LL, V1-V6 115 Ohm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Rozdzielczość czasowa Prędkość próbkowania 1 ms, 0,2%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Wymiary (Dł. x Sz. x Wys.) ok. 120 x 70 x 47 mm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Waga (w tym Akumulatory lub Baterie) około. 200 gramów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Warunki termiczne pracy: + 10 ° C - + 40 ° 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Wilgotność powietrza: 5% - 90%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Bez kondensacji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Zasilanie 2 x baterie Mignon (AA )lub akumulatory o napięciu 1,2 V lub 1,5 V</w:t>
            </w:r>
          </w:p>
        </w:tc>
      </w:tr>
      <w:tr w:rsidR="009E5A46" w:rsidRPr="009E5A46" w:rsidTr="001269E8">
        <w:trPr>
          <w:trHeight w:val="2192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9.</w:t>
            </w:r>
          </w:p>
        </w:tc>
        <w:tc>
          <w:tcPr>
            <w:tcW w:w="208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Termometr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Zakres pomiaru temperatury ucha: 32 - 43 st. 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Zakres pomiaru temperatury skóry: 23 – 44 st. 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Dokładność pomiaru: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o W zakresie 36,0 – 39,0 st. C: +/- 0,2 st. 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o W zakresie 34,0 – 35,9 st. C: +/- 0,3 st. 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o W zakresie 39,1 – 42,2 st. C: +/- 0,3 st. C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działający z wykorzystaniem Bluetooth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Low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Energy (BLE)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posiada sygnalizację (diodę) informującą o połączeniu Bluetooth</w:t>
            </w:r>
          </w:p>
        </w:tc>
      </w:tr>
      <w:tr w:rsidR="009E5A46" w:rsidRPr="009E5A46" w:rsidTr="001269E8">
        <w:trPr>
          <w:trHeight w:val="5940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Urządzenie EKG A (12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odprowadzeń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)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Możliwość monitorowania pacjentów z wszczepionym kardiostymulatorem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wyboru aktywności behawiorystycznych pacjenta polegających na wskazaniu: rozpoczęcia aktywności dziennej, spoczynku nocnego, wysiłku małego i dużego, zdenerwowania, zmęczenia lub ogólnego osłabienia, bólu w klatce piersiowej, przyjęcia leku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 trybie monitoringu kardiologicznego – urządzenie ma możliwość wykrywania „w locie” przynajmniej następujących nieprawidłowości pracy serca: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1) tachykardia / bradykardia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2) pauza RR o zadanej wartości minimalnej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3) pauza przy migotaniu przedsionków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4) migotanie i trzepotanie komór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5) częstoskurcz komorowy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6) migotanie i trzepotanie przedsionków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7) ustanie akcji oddechowej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wyświetlania bieżącego sygnału EKG na wyświetlaczu przy dowolnym odprowadzeniu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wymiany modułu zasilającego bez konieczności restartu aktywnego badania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zapisu badań dłuższych niż 7 dni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odłączania modułu elektrod bez utraty ciągłości zapisu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Moduł zasilający przy pełnym naładowaniu pozwala na rejestrację badania min. do 4 dni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automatycznego lub/i ręcznego zdefiniowania długość trwania badania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Wyświetlenie na urządzeniu instrukcji prawidłowego podłączenia elektrod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Automatyczne wznawianie rejestracji po przerwie związanej z chwilowym wyłączeniem rejestratora (np. wymiana przewodu pacjenta)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Automatyczne wznawianie rejestracji po przerwie związanej z chwilowym wyłączeniem rejestratora (np. wymiana przewodu pacjenta)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Automatyczne przerywanie i wznawianie rejestracji EKG po dłuższej przerwie związanej z utratą połączenia z pacjentem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Sygnalizacja niewystarczającego poziomu zasilania przed uruchomieniem rejestracji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Rejestracja 12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odprowadzeń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EKG z 10 elektrod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Urządzenia stanowiące cały zestaw powinny mieć opakowanie ułatwiające porządkowanie oraz przenoszenie sprzętu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Częstotliwość próbkowania sygnału zgodna z aktualnymi obowiązującymi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dopuszczeniami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oraz przepisami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Wymienny moduł zasilania z baterią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litowo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- jonową</w:t>
            </w:r>
          </w:p>
        </w:tc>
      </w:tr>
      <w:tr w:rsidR="009E5A46" w:rsidRPr="009E5A46" w:rsidTr="00A432FC">
        <w:trPr>
          <w:trHeight w:val="1829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11.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55409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Urządzenie EKG A</w:t>
            </w:r>
          </w:p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(7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odprowadzeń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)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Możliwość monitorowania pacjentów z wszczepionym kardiostymulatorem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wyboru aktywności behawiorystycznych pacjenta polegających na wskazaniu: rozpoczęcia aktywności dziennej, spoczynku nocnego, wysiłku małego i dużego, zdenerwowania, zmęczenia lub ogólnego osłabienia, bólu w klatce piersiowej, przyjęcia leku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 trybie monitoringu kardiologicznego – urządzenie ma możliwość wykrywania „w locie” przynajmniej następujących nieprawidłowości pracy serca: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1) tachykardia / bradykardia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2) pauza RR o zadanej wartości minimalnej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3) pauza przy migotaniu przedsionków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4) migotanie i trzepotanie komór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5) częstoskurcz komorowy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6) migotanie i trzepotanie przedsionków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7) ustanie akcji oddechowej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lastRenderedPageBreak/>
              <w:t>• Możliwość wyświetlania bieżącego sygnału EKG na wyświetlaczu przy dowolnym odprowadzeniu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wymiany modułu zasilającego bez konieczności restartu aktywnego badania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zapisu badań dłuższych niż 7 dni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odłączania modułu elektrod bez utraty ciągłości zapisu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Moduł zasilający przy pełnym naładowaniu pozwala na rejestrację badania min. do 4 dni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automatycznego lub/i ręcznego zdefiniowania długość trwania badania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Wyświetlenie na urządzeniu instrukcji prawidłowego podłączenia elektrod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Automatyczne wznawianie rejestracji po przerwie związanej z chwilowym wyłączeniem rejestratora (np. wymiana przewodu pacjenta)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Automatyczne przerywanie i wznawianie rejestracji EKG po dłuższej przerwie związanej z utratą połączenia z pacjentem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Sygnalizacja niewystarczającego poziomu zasilania przed uruchomieniem rejestracji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Rejestracja 7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odprowadzeń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z 5 elektrod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Urządzenia stanowiące cały zestaw powinny mieć opakowanie ułatwiające porządkowanie oraz przenoszenie sprzętu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Częstotliwość próbkowania sygnału zgodna z aktualnymi obowiązującymi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dopuszczeniami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oraz przepisami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Wymienny moduł zasilania z baterią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litowo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- jonową</w:t>
            </w:r>
          </w:p>
        </w:tc>
      </w:tr>
      <w:tr w:rsidR="009E5A46" w:rsidRPr="009E5A46" w:rsidTr="00913B28">
        <w:trPr>
          <w:trHeight w:val="3955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Urządzenie do zdalnego KTG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(2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• Przedmiot fabrycznie nowy, wyprodukowany nie wcześniej niż w 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2015 r.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Serwis urządzeń musi odbywać się na terenie Polski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Wymiary Urządzenia wraz z akcesoriami powinny gwarantować jego mobilność i poręczność, odpowiadając współczesnym standardom właściwym dla mobilnych urządzeń komunikacyjnych. Urządzenie nie powinno być większe niż 20x11,5x4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Całkowita waga urządzenia nie większa niż 885 g (waga aparatu KTG to ok 615g, waga pelot 270g)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Aktualna instrukcja użytkowania aplikacji w formie elektronicznej oraz papierowej zawierająca szczegółowy opis parametrów technicznych oraz funkcjonalnych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Zgodność z wymaganiami dyrektywy 93/42/EEC dla wyrobów medycznych. Urządzenie musi zaliczać się do wyrobów medycznych klasy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IIa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oznaczonych znakiem CE (ISO 13485) oraz posiadać deklarację zgodności.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Urządzenia stanowiące cały zestaw powinny mieć opakowanie ułatwiające przechowywanie, porządkowanie oraz przenoszenie sprzętu.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Budowa Urządzenia musi uniemożliwić wyjęcie karty SIM przez Użytkownika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Moduł GSM lub EDGE pracujący w 4 zakresach częstotliwości GSM 850/900/1800/1900 MHz spełniający wymogi dla urządzeń klasy 12 lub wyższej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pobrania oraz instalacji uaktualnień dla oprogramowania. Aktualizacja oprogramowania musi dokonywać się automatycznie, po otrzymaniu informacji z Platformy o dostępności nowej wersji oprogramowania, w sposób minimalizujący ryzyko uszkodzenia urządzenia podczas operacji aktualizacji oraz aby nie zakłócić wykonywania badania przez użytkownika.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Urządzenie musi umożliwiać wykonanie badania KTG w dowolnym miejscu i o dowolnej porze, spełniając następujące kryteria zakresu pracy urządzenia: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Temperatura pracy: 15 – 40 [°C] Temperatura przechowywania 0 – 40 [°C], wilgotność: 0-85%, ciśnienie: 700-1060 [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hPa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]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bezpośredniej dwustronnej komunikacji pomiędzy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lastRenderedPageBreak/>
              <w:t>urządzeniem a Platformą za pośrednictwem kanałów: Data lub SMS.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zdalnego zarządzania Urządzeniem poprzez transmisję danych (GPRS/3G) w zakresie wymuszenia pobrania i instalacji uaktualnienia oprogramowania Urządzenia.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Czułość przetwornika czynności serca płodu 5mV/N/m2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Część serwerowa rozwiązania musi mieć możliwość integracji z platformą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telemedyczną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(poprzez implementację wyspecyfikowanych protokołów, wykorzystanie gotowych modułów itp.)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Zastosowane mechanizmy transmisji danych powinny umożliwić zainicjowanie komunikacji od strony serwera/panelu zarządzania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Pełen zestaw urządzenia powinien składać się z Aparatu KTG, dwóch pelot (do rejestracji czynności akcji serca dziecka, czynności skurczowej macicy), ładowarki, pokrowiec na urządzenie, pasy.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Urządzenie stanowiące cały zestaw powinny mieć opakowanie ułatwiające porządkowanie oraz przenoszenie sprzętu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Częstotliwość próbkowania sygnału zgodna z aktualnymi obowiązującymi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dopuszczeniami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oraz przepisami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monitorowania ciąży pojedynczej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nieinwazyjnej metody badania (aparat działa na zasadzie tensometrycznej i akustycznej)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Aparat rejestruje następujące parametry: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czynność akcji serca dziecka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czynność skurczową macicy 3) ruchy płodu w trackie trwania badania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Przechowywanie badań w pamięci aparatu aż do wysłania badania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wykonywania badania o dowolnej długości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anulowania badania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zatrzymania badania w trakcie trwania zapisu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Aparat przy pełnym naładowaniu pozwala na pracę przez 7 dni wykonując 1 badanie dziennie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automatycznego zdefiniowania długość trwania badania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słuchania akcji serca dziecka bez wykonywania całego badania</w:t>
            </w:r>
          </w:p>
        </w:tc>
      </w:tr>
      <w:tr w:rsidR="009E5A46" w:rsidRPr="009E5A46" w:rsidTr="00913B28">
        <w:trPr>
          <w:trHeight w:val="2040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Waga A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(2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Działająca z Bluetooth z wykorzystaniem profilu SPP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Maksymalny udźwig: 180 kg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Dokładność pomiaru: W zakresie 0 - 65 kg: 0,5 kg, W zakresie 65 – 135 kg: 0,8 kg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integracji wagi z aplikacją Wykonawcy poprzez Bluetooth w szczególności: aplikacja Wykonawcy wysyła do wagi żądanie przesłania wyniku badania dla danego pacjenta, waga wysyła do aplikacji Wykonawcy wyniki badania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.</w:t>
            </w:r>
          </w:p>
        </w:tc>
      </w:tr>
      <w:tr w:rsidR="009E5A46" w:rsidRPr="009E5A46" w:rsidTr="00A432FC">
        <w:trPr>
          <w:trHeight w:val="1965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14.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Waga B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(2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• Waga elektroniczna, przenośna, bezprzewodowa wraz z modułem komunikacji Bluetooth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ver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2.1.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Produkt zasilany bateryjnie: 4x LR6(AA), 1.5 volt o żywotności baterii około 1000 pomiarów.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Maksymalny przewidywany udźwig: 200 kg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Dokładność pomiaru na poziomie: 0,1 kg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Cechy dodatkowe: wyświetlacz ciekłokrystaliczny</w:t>
            </w:r>
          </w:p>
        </w:tc>
      </w:tr>
      <w:tr w:rsidR="009E5A46" w:rsidRPr="009E5A46" w:rsidTr="001269E8">
        <w:trPr>
          <w:trHeight w:val="552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15.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Platforma badań przesiewowych 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(2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Platforma umożliwiająca przygotowanie oraz przeprowadzenie badań przesiewowych </w:t>
            </w:r>
          </w:p>
        </w:tc>
      </w:tr>
      <w:tr w:rsidR="009E5A46" w:rsidRPr="009E5A46" w:rsidTr="001269E8">
        <w:trPr>
          <w:trHeight w:val="552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16.</w:t>
            </w:r>
          </w:p>
        </w:tc>
        <w:tc>
          <w:tcPr>
            <w:tcW w:w="208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Licencje</w:t>
            </w:r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na centralny system </w:t>
            </w:r>
            <w:proofErr w:type="spellStart"/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telemedyczn</w:t>
            </w:r>
            <w:r>
              <w:rPr>
                <w:rFonts w:ascii="Calibri" w:eastAsia="Times New Roman" w:hAnsi="Calibri" w:cs="Times New Roman"/>
                <w:color w:val="auto"/>
                <w:kern w:val="1"/>
              </w:rPr>
              <w:t>y</w:t>
            </w:r>
            <w:proofErr w:type="spellEnd"/>
            <w:r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(9 szt.)</w:t>
            </w:r>
          </w:p>
        </w:tc>
        <w:tc>
          <w:tcPr>
            <w:tcW w:w="614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3C4AAE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Licencje bezterminowe, umożliwiające</w:t>
            </w:r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korzystanie z aplikacji dedykowanych do obsługi systemu </w:t>
            </w:r>
            <w:proofErr w:type="spellStart"/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telemedycznego</w:t>
            </w:r>
            <w:proofErr w:type="spellEnd"/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na komputerach stacjonarnych</w:t>
            </w:r>
          </w:p>
        </w:tc>
      </w:tr>
      <w:tr w:rsidR="009E5A46" w:rsidRPr="009E5A46" w:rsidTr="001269E8">
        <w:trPr>
          <w:trHeight w:val="1656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Licencje na oprogramowanie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telemedyczne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do analizy i diagnostyki sygnałów biomedycznych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(9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Licencje bezterminowe, umożliwiające korzystanie z aplikacji dedykowanych do analizy i diagnostyki sygnałów biomedycznych na komputerach stacjonarnych</w:t>
            </w:r>
          </w:p>
        </w:tc>
      </w:tr>
      <w:tr w:rsidR="009E5A46" w:rsidRPr="009E5A46" w:rsidTr="00A432FC">
        <w:trPr>
          <w:trHeight w:val="552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18.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Licencje</w:t>
            </w:r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na aplikacje mobilne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(9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Licencje bezterminowe umożliwiające korzystanie z aplikacji dedykowanych do obsługi systemu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telemedycznego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na urządzeniach przenośnych</w:t>
            </w:r>
          </w:p>
        </w:tc>
      </w:tr>
      <w:tr w:rsidR="009E5A46" w:rsidRPr="009E5A46" w:rsidTr="003C4AAE">
        <w:trPr>
          <w:trHeight w:val="435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19.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Pr="00B87628" w:rsidRDefault="00B87628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Instalacja systemu i </w:t>
            </w:r>
            <w:r w:rsidR="009E5A46" w:rsidRPr="00B87628">
              <w:rPr>
                <w:rFonts w:ascii="Calibri" w:eastAsia="Times New Roman" w:hAnsi="Calibri" w:cs="Times New Roman"/>
                <w:color w:val="auto"/>
                <w:kern w:val="1"/>
              </w:rPr>
              <w:t>urządzeń oraz konfiguracja</w:t>
            </w:r>
          </w:p>
          <w:p w:rsidR="009E5A46" w:rsidRPr="00B87628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</w:rPr>
              <w:t>(1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B87628" w:rsidRDefault="009E5A46" w:rsidP="00A432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Instalacja systemu i urządzeń oraz konfiguracja. W ramach usługi zewnętrznej zainstalowane i skonfigurowane zostanie laborato</w:t>
            </w:r>
            <w:r w:rsidR="0005646F"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rium </w:t>
            </w:r>
            <w:proofErr w:type="spellStart"/>
            <w:r w:rsidR="0005646F"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Telemedycyny</w:t>
            </w:r>
            <w:proofErr w:type="spellEnd"/>
            <w:r w:rsidR="0005646F"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i </w:t>
            </w:r>
            <w:proofErr w:type="spellStart"/>
            <w:r w:rsidR="0005646F"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Teleopieki</w:t>
            </w:r>
            <w:proofErr w:type="spellEnd"/>
            <w:r w:rsidR="0005646F"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: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Przygotowanie Planu Projektu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Przeprowadzenie analizy przedwdrożeniowej</w:t>
            </w:r>
          </w:p>
          <w:p w:rsidR="00EE2515" w:rsidRPr="00B87628" w:rsidRDefault="0005646F" w:rsidP="0005646F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Analiza ogólna –  określenie definicji projektu oraz  funkcji biznesowych jakie będzie realizował system informatyczny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Analiza szczegółowa - precyzyjne określenie funkcji użytkowych realizujących zdefiniowane w analizie ogólnej funkcje biznesowe.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Opracowanie dokumentacji: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left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Opis ról obowiązujących w strukturze organizacyjnej projektu oraz zadań przypisanych do poszczególnych ról obowiązujących w projekcie;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left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Określenie wszystkich biznesowych procesów i funkcji jakie będzie realizował przyszły system informatyczny;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left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Opis rozwiązania i architektury systemu informatycznego.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Określenie specyfikacji wymiany danych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Określenie modelu systemu, w szczególności: 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projektu tabel i powiązań między nimi,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projektu modułów systemu,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definicji profili i ról bazodanowych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modelu danych wykorzystywanych przez system,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procesów komunikacji w systemie jak i na zewnątrz systemu,</w:t>
            </w:r>
          </w:p>
          <w:p w:rsidR="0005646F" w:rsidRPr="00B87628" w:rsidRDefault="0005646F" w:rsidP="0005646F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otoczenie systemu, potrzebne integracje i ich zakres.</w:t>
            </w:r>
          </w:p>
          <w:p w:rsidR="0005646F" w:rsidRPr="00B87628" w:rsidRDefault="0005646F" w:rsidP="0005646F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Opracowanie planu startu  - Celem jest zaproponowanie sposobu realizacji Projektu zarówno pod względem merytorycznym jak i zarządczym.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Prace związane z dostawą i odbiorem infrastruktury, w szczególności weryfikację parametrów, zarządzanie dostawami oraz odbiorem technicznym - Celem etapu jest dostawa, instalacja oraz konfiguracja infrastruktury sprzętowej określonej w postępowaniu.</w:t>
            </w:r>
          </w:p>
          <w:p w:rsidR="0005646F" w:rsidRPr="00B87628" w:rsidRDefault="008317A9" w:rsidP="00A432FC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Weryfikacja zgodności parametrów dostarczonego sprzętu ze specyfikacja zamówienia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Instalacja i konfiguracja sprzętu IT zgodnie z ustalonym pomiędzy stronami harmonogramem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Instalacja i konfiguracja sprzętu medycznego zgodnie z ustalonym pomiędzy stronami harmonogramem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Instalacja i konfiguracja pozostałego sprzętu i urządzeń zgodnie z ustalonym pomiędzy stronami harmonogramem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dostawa licencji oprogramowania zgodnie z ustalonym pomiędzy stronami harmonogramem.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Wykonanie testów odbiorowych, w tym ilościowych i jakościowych dostarczonej infrastruktury</w:t>
            </w:r>
          </w:p>
          <w:p w:rsidR="008317A9" w:rsidRPr="00B87628" w:rsidRDefault="008317A9" w:rsidP="008317A9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Weryfikacja konfiguracji sprzętowej</w:t>
            </w:r>
          </w:p>
          <w:p w:rsidR="00442B5B" w:rsidRPr="00B87628" w:rsidRDefault="008317A9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Instalacja, konfiguracja i parametryzacja systemu w środowisku produkcyjnym, w tym oprogramowania systemowego, narzędziowego i </w:t>
            </w: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lastRenderedPageBreak/>
              <w:t>bazodanowego na serwerze. Wynikiem końcowym etapu są wykonywalne elementy systemu oraz opisany kod źródłowy modułów systemu.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zdefiniowanie obiektów statycznych bazy danych 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zdefiniowanie pakietów zawierające funkcje i procedury określone w projekcie modułów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zdefiniowanie ekranów i raportów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zdefiniowanie ekranów i raportów w postaci plików w wersji źródłowej i wykonywalnej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zdefiniowanie menu w oparciu o strukturę powiązań pomiędzy modułami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zdefiniowanie ról i uprawnień użytkowników systemu.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Wykonanie integracji systemu Pracowni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Telemedycznej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z istniejącym systemem e-Szpital, który jest w posiadaniu Zamawiającego na potrzeby edukacyjne. Produktami szczególnymi będą:</w:t>
            </w:r>
          </w:p>
          <w:p w:rsidR="00442B5B" w:rsidRPr="00B87628" w:rsidRDefault="00442B5B" w:rsidP="00442B5B">
            <w:p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- raport z zakresu integracji zawierający dokładne ilości i rodzaje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zmigrowanych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danych</w:t>
            </w:r>
          </w:p>
          <w:p w:rsidR="00442B5B" w:rsidRPr="00B87628" w:rsidRDefault="00442B5B" w:rsidP="00442B5B">
            <w:p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raport testów integracji zawierający wyniki przeprowadzonych przez wytypowanych użytkowników Zamawiającego testów integracji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przesyłanie danych teleadresowych pacjentów z Centralnego Systemu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Telemedycznego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do e-Szpitala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integracja  wspólnym identyfikatorem pacjentów w obu Systemach informatycznych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przesyłanie danych medycznych/parametrów pomiarowych gromadzonych przez Centralny System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Telemedyczny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do e-Szpitala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01" w:hanging="20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Weryfikacja prawidłowości działania zintegrowanych systemów wdrażanych w ramach zamówienia, testy.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Uruchomienie produkcyjne systemu.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Odbiór końcowy wdrożonych systemów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Sprawdzenie pojedynczych komponentów systemu, integracji systemu, komponentów współdziałających pomiędzy sobą i z innymi systemami, spełnienie funkcjonalnych i niefunkcjonalnych wymagań - Opracowanie planu i harmonogramu testów.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Plan testów powinien obejmować specyfikację i harmonogram przeprowadzenia testów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Opracowanie scenariuszy testowych dla poszczególnych elementów systemu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Testy poszczególnych komponentów Systemu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Weryfikacja poprawności funkcjonalnej obejmująca testy poprawności wykonywanych transakcji, m.in. czy  wykonywane  operacje  w danym  module  przebiegają  zgodnie  z założonym  algorytmem, czy wykonywane transakcje operują na wszystkich wymaganych danych, czy parametry transakcji są w odpowiednim formacie</w:t>
            </w:r>
          </w:p>
          <w:p w:rsidR="00442B5B" w:rsidRPr="00B87628" w:rsidRDefault="00442B5B" w:rsidP="00442B5B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Weryfikacja  wydajności  komponentów  polegająca  na wygenerowaniu  danych  testowych  dla  modułu  i wykonaniu  pomiaru  czasu  realizacji  zapytań zdefiniowanych w tym module</w:t>
            </w:r>
          </w:p>
          <w:p w:rsidR="00B87628" w:rsidRPr="00B87628" w:rsidRDefault="00442B5B" w:rsidP="00B87628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Testy systemu polegające  na  sprawdzeniu  wszystkich  komponentów  składowych  aplikacji  jako  całości. W szczególności wykonanie testów funkcjonalnych (systemowych), rozumianych jako testy typu „czarna skrzynka” mające na celu weryfikację czy dostarczone rozwiązanie faktycznie spełnia wymagania opisane w OPZ</w:t>
            </w:r>
            <w:r w:rsidR="00B87628"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:</w:t>
            </w:r>
          </w:p>
          <w:p w:rsidR="00B87628" w:rsidRPr="00B87628" w:rsidRDefault="00B87628" w:rsidP="00B87628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Opracowanie i przygotowanie danych testowych</w:t>
            </w:r>
          </w:p>
          <w:p w:rsidR="00B87628" w:rsidRPr="00B87628" w:rsidRDefault="00B87628" w:rsidP="00B87628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Wykonanie testu i ewentualna aktualizacja scenariuszy testowych, w szczególności testy: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wydajnościowych i przepustowości,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użyteczności (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usability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),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lastRenderedPageBreak/>
              <w:t>- testy bezpieczeństwa, archiwizacji i odzyskiwania danych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- testy integracji i poprawności instalacji  </w:t>
            </w:r>
          </w:p>
          <w:p w:rsidR="00B87628" w:rsidRPr="00B87628" w:rsidRDefault="00B87628" w:rsidP="00B87628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Definicja i znaczenie testów: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left="484" w:hanging="1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Testy integracyjne rozumiane jako testy sprawdzające funkcjonowanie interfejsów pomiędzy systemami i modułami poszczególnych systemów. Oznacza to, że Zamawiający definiuje testy integracyjne, jako testy modułowe (sprawdzają integrację między modułami) i testy systemowe (sprawdzają integrację między systemami);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left="484" w:hanging="1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Testy wydajnościowe – rozumiane jako testy sprawdzające szybkość przetwarzania Systemu. Wykonawca zobowiązany jest również do przeprowadzenia testów przeciążeniowych i obciążeniowych;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left="484" w:hanging="1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Testy akceptacyjne rozumiane zgodnie z Ustawą z dnia 17 lutego 2005 r. o informatyzacji działalności podmiotów realizujących zadania publiczne art. 3  pkt 12. Testy akceptacyjne potwierdzają jakość systemów.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left="484" w:hanging="1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- Testy bezpieczeństwa rozumiane jako zestaw testów eksploracyjnych i penetracyjnych sprawdzających odporność Systemu na ataki typu: SQL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injection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, XSS,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Authorization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Bypass,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DoS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, Cross Site Scripting. W ramach testów bezpieczeństwa Zamawiający przewiduje weryfikację czy System jest zabezpieczony przed nieautoryzowanym dostępem do treści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left="484" w:hanging="1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Komplet  testów zostanie wykonany przed odbiorem wdrożenia. Testy akceptacyjne zostaną przeprowadzone po zatwierdzeniu przez Zamawiającego wyników testów: funkcjonalnych, integracyjnych, wydajnościowych, konwersji danych, bezpieczeństwa.</w:t>
            </w:r>
          </w:p>
          <w:p w:rsidR="00B87628" w:rsidRPr="00B87628" w:rsidRDefault="00B87628" w:rsidP="00B87628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342" w:hanging="141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Przygotowanie dokumentacji i wniosków z testów</w:t>
            </w:r>
          </w:p>
          <w:p w:rsidR="00B87628" w:rsidRPr="00B87628" w:rsidRDefault="00B87628" w:rsidP="00B87628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42" w:hanging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Generowanie dokumentacji projektowej - równolegle z pracami nad budową systemu zostanie wytworzona dokumentacja opisująca system,  </w:t>
            </w:r>
            <w:proofErr w:type="spellStart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tj</w:t>
            </w:r>
            <w:proofErr w:type="spellEnd"/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: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dokumentacja użytkową,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dokumentacja techniczną,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dokumentacja eksploatacyjną,</w:t>
            </w:r>
          </w:p>
          <w:p w:rsidR="00B87628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dokumentacja szkoleniową użytkownika i administratora,</w:t>
            </w:r>
          </w:p>
          <w:p w:rsidR="00442B5B" w:rsidRPr="00B87628" w:rsidRDefault="00B87628" w:rsidP="00B87628">
            <w:pPr>
              <w:suppressAutoHyphens/>
              <w:spacing w:after="0" w:line="240" w:lineRule="auto"/>
              <w:ind w:firstLine="342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B876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- dokumentacja systemu informatycznego.</w:t>
            </w:r>
          </w:p>
        </w:tc>
      </w:tr>
      <w:tr w:rsidR="009E5A46" w:rsidRPr="009E5A46" w:rsidTr="003C4AAE">
        <w:trPr>
          <w:trHeight w:val="435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8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Zestaw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tagów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NFC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(1 szt.)</w:t>
            </w:r>
          </w:p>
        </w:tc>
        <w:tc>
          <w:tcPr>
            <w:tcW w:w="614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13B28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Znaczniki umożliwiające </w:t>
            </w:r>
            <w:r w:rsidR="009E5A46"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pracę syst</w:t>
            </w:r>
            <w:r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emu zdalnych usług opiekuńczych.</w:t>
            </w:r>
          </w:p>
        </w:tc>
      </w:tr>
      <w:tr w:rsidR="009E5A46" w:rsidRPr="009E5A46" w:rsidTr="003C4AAE">
        <w:trPr>
          <w:trHeight w:val="6225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Stanowisko komputerowe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(9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Wymagania minimalne! Płyta główna: umożliwiająca podłączenie i pracę wszystkich wymienionych podzespołów, jeden slot na procesor, min. 2 złącza SATA, Wyposażona co najmniej w złącza: 1 x PCI-Express x 16 , 2 x PCI-Express xx1, 1 x PCI; Procesor: obsługa instrukcji 64-bitowych, wsparcie dla technologii wirtualizacji VT-x/EPT, VT-d lub AMD-V/RVI i AMD-Vi, obsługa instrukcji EPT lub RVI, czterordzeniowy, ośmiowątkowy klasy x86, osiągający wynik dla jednego procesora: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Passmark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CPU Mark &gt; 10700 (wg </w:t>
            </w:r>
            <w:hyperlink r:id="rId8" w:history="1">
              <w:r w:rsidRPr="0033473E">
                <w:rPr>
                  <w:rFonts w:ascii="Calibri" w:eastAsia="Times New Roman" w:hAnsi="Calibri" w:cs="Times New Roman"/>
                  <w:color w:val="0563C1"/>
                  <w:kern w:val="1"/>
                  <w:sz w:val="20"/>
                  <w:szCs w:val="20"/>
                  <w:highlight w:val="yellow"/>
                  <w:u w:val="single"/>
                </w:rPr>
                <w:t>www.cpubenchmark.net/desktop.html odczyt z dnia 13.03.2018</w:t>
              </w:r>
            </w:hyperlink>
            <w:r w:rsidRPr="0033473E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  <w:highlight w:val="yellow"/>
              </w:rPr>
              <w:t xml:space="preserve"> r.).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Pamięć RAM 16GB DDR4 z możliwością rozbudowy do 64GB, Dyski twarde 1TB SATA II, Karta graficzna dedykowana pamięć karty co najmniej 2GB zgodna ze standardem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OpenGL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4.4 oraz DIRECTX 12, posiadająca dwa złącza o rozdzielczościach do 1920x1080 pikseli, Karta sieciowa 1 x Gigabit Ethernet: karta zintegrowana Karta muzyczna Zintegrowana z płytą główną, zgodna z High Definition (HD) Audio, Porty: min. jeden port szeregowy RS232/DB9, min. 6 x USB 2.0, 2 x USB 3.0. W tym min. dwa na panelu frontowym, Akcesoria: Klawiatura typu Windows pełnowymiarowa, układ typu QWERTY US, przewodowa podłączana przez port USB, Mysz Przewodowa, laserowa dwu przyciskowa mysz z rolką podłączana do portu USB, Napęd optyczny DVD-ROM, Zasilacz O parametrach wystarczających dla pracy pozostałych wymienionych podzespołów; Monitor Typ Panelu: TFT S-IPS, Przekątna: 22 “, Rozdzielczość: 1920x1080, Kąty widzenia: min. 178° w poziomie /178° w pionie, Jasność: 350 cd/m2, Kontrast: 1000:1, Złącza DVI, HDMI kompatybilne z oferowaną kartą graficzną, Funkcje: Złącza OSD wyświetlane na ekranie, automatyczne ustawienia, regulacja nachylenia ekranu w zakresie -5/+30 stopni</w:t>
            </w:r>
          </w:p>
        </w:tc>
      </w:tr>
      <w:tr w:rsidR="009E5A46" w:rsidRPr="009E5A46" w:rsidTr="00A432FC">
        <w:trPr>
          <w:trHeight w:val="552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22.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Smartfon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(6 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System Operacyjny Android 5.0 lub wyższy, Przekątna ekranu co najmniej 4,5 cala, Inne Ekran dotykowy, obsługa NFC, Komunikacja Bezprzewodowa komunikacja Bluetooth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ver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. min. 4.0</w:t>
            </w:r>
          </w:p>
        </w:tc>
      </w:tr>
      <w:tr w:rsidR="009E5A46" w:rsidRPr="009E5A46" w:rsidTr="00913B28">
        <w:trPr>
          <w:trHeight w:val="3814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23.</w:t>
            </w:r>
          </w:p>
        </w:tc>
        <w:tc>
          <w:tcPr>
            <w:tcW w:w="208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Tablet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Rodzaj sprzętu: Tablet multimedialny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Platforma: Android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System operacyjny: Android 6.0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Przekątna wyświetlacza: 7 cali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technologia dotykowa: pojemnościowy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typ wyświetlacza: IPS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rozdzielczość: 1024 x 600 pikseli lub wyższa z zachowaniem proporcji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model procesora: ARM Cortex-A53, równoważny lub wydajniejszy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karta graficzna: ARM Mali-T720, równoważna lub wydajniejsza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pamięć RAM: 1024 MB minimum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interfejsy komunikacyjne: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WiFi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802.11 b/g/n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Pamięć wewnętrzna: 16GB minimum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Możliwość komunikacji z komputerem przez ADB.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Tablety muszą być dostarczone z minimum 12 miesięczną gwarancją producenta oraz w komplecie z ładowarkami</w:t>
            </w:r>
          </w:p>
        </w:tc>
      </w:tr>
      <w:tr w:rsidR="009E5A46" w:rsidRPr="009E5A46" w:rsidTr="00913B28">
        <w:trPr>
          <w:trHeight w:val="7074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Telewizor do wyświetlania danych monitoringu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Ekran - 55 cali / 138 cm, 16:9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Zgodność z HD 4K UHD, 3840 x 2160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Tuner DVB-T2, DVB-S2, DVB-C, analogowy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Podświetlenie matrycy Edge LED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Funkcje poprawy obrazu czujnik oświetlenia zewnętrznego, Auto Motion Plus,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Contrast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Enhancer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, skalowanie obrazu do jakości 4K UHD ,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Supreme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UHD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Dimming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, Active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Crystal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Color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System dźwięku przestrzennego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Moc głośników 2 x 10 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Regulacja tonów wysokich / niskich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Korektor dźwięku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Funkcje dodatkowe dźwięku -Dolby Digital Plus, DTS Premium Sound 5.1,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Multiroom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Link, Dolby Audio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SmartTV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Wi-Fi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DLNA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HbbTV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Przeglądarka internetowa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Nagrywanie na USB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Komunikacja dodatkowa - Bluetooth, Wi-Fi Direct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Liczba złączy HDMI -3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Liczba złączy USB - 2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Złącze Ethernet (LAN)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Cyfrowe wyjście optyczne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Pobór mocy (max) -170W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Pobór mocy (tryb czuwania) -0,5W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Możliwość montażu na ścianie- tak / VESA 400x400 mm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Waga z podstawą / bez podstawy 20kg/18,5kg</w:t>
            </w:r>
          </w:p>
        </w:tc>
      </w:tr>
      <w:tr w:rsidR="009E5A46" w:rsidRPr="009E5A46" w:rsidTr="00913B28">
        <w:trPr>
          <w:trHeight w:val="3546"/>
        </w:trPr>
        <w:tc>
          <w:tcPr>
            <w:tcW w:w="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25.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Drukarka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(1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• Technologia druku: Laserowa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Podstawowe funkcje urządzenia: Kopiarka, drukarka, Skaner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szybkość druku (mono): 24 str./min.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Czas pierwszego wydruku poniżej 8,5 s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Złącze zewnętrzne: USB 2.0 Hi-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Speed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, RJ45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Karta sieciowa: 10/100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Maksymalny rozmiar papieru: A4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Standardowa pojemność podajników papieru: 250 szt.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Pojemność tacy odbiorczej: 100 szt.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Automatyczny podajnik dokumentów: ADF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Pojemność podajnika dokumentów: 35 szt.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Drukowanie dwustronne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>• Typ skanera: technologia CIS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br/>
              <w:t xml:space="preserve">• Optyczna rozdzielczość skanowania: 600 x 2400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dpi</w:t>
            </w:r>
            <w:proofErr w:type="spellEnd"/>
          </w:p>
        </w:tc>
      </w:tr>
      <w:tr w:rsidR="009E5A46" w:rsidRPr="009E5A46" w:rsidTr="00A432FC">
        <w:trPr>
          <w:trHeight w:val="552"/>
        </w:trPr>
        <w:tc>
          <w:tcPr>
            <w:tcW w:w="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26.</w:t>
            </w:r>
          </w:p>
        </w:tc>
        <w:tc>
          <w:tcPr>
            <w:tcW w:w="20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Stolik komputerowy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(9 szt.)</w:t>
            </w:r>
          </w:p>
        </w:tc>
        <w:tc>
          <w:tcPr>
            <w:tcW w:w="614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Biurko proste jednoosobowe wymiary: 120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cm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x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80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, blat + osłona tylna, laminat, stelaż L,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mikroregulacja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nóżek, koszyk na okablowanie, wpust okablowania</w:t>
            </w:r>
          </w:p>
        </w:tc>
      </w:tr>
      <w:tr w:rsidR="009E5A46" w:rsidRPr="009E5A46" w:rsidTr="00B87628">
        <w:trPr>
          <w:trHeight w:val="658"/>
        </w:trPr>
        <w:tc>
          <w:tcPr>
            <w:tcW w:w="980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27.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Stolik szkolny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(5 szt.)</w:t>
            </w:r>
          </w:p>
        </w:tc>
        <w:tc>
          <w:tcPr>
            <w:tcW w:w="6144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Stolik prosty dwuosobowy, wymiary: 160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cm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x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70</w:t>
            </w:r>
            <w:r w:rsidR="00913B28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, nogi proste,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mikroregulacja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nóżek</w:t>
            </w:r>
          </w:p>
        </w:tc>
      </w:tr>
      <w:tr w:rsidR="009E5A46" w:rsidRPr="009E5A46" w:rsidTr="00A432F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28.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Krzesło biurowe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(9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Krzesło biurowe obrotowe, tapicerowane wysokiej jakości materiałem, wyposażone w plastikowe podłokietniki, śrubowane do siedziska i oparcia, płynna regulacja wysokości podnośnikiem gazowym, regulacja oparcia, regulacja podparcia do komputera, metalowy chromowany krzyż z kółkami do twardych i miękkich podłóg, wysokość całkowita ok. 103 - 114 cm, wysokość siedziska ok. 46 - 57 cm, głębokość siedziska ok. 53 cm, szerokość siedziska ok. 47 cm, wysokość oparcia ok. 57 cm, wysokość podłokietników nad siedziskiem ok. 20 cm.</w:t>
            </w:r>
          </w:p>
        </w:tc>
      </w:tr>
      <w:tr w:rsidR="009E5A46" w:rsidRPr="009E5A46" w:rsidTr="00A432F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55409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Krzesło uczniowskie </w:t>
            </w:r>
          </w:p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z pulpitem</w:t>
            </w:r>
            <w:r w:rsidR="003C4AAE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(10 szt.)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Siedziska i oparcia na ramie metalowej, malowanej proszkowo, końcówki zabezpieczone nakładkami z miękkiego tworzywa sztucznego, zapobiegające zarysowaniu podłogi; siedziska i oparcia tapicerowane z materiału łatwo zmywalnego; pulpit drewniany lub z tworzywa sztucznego, podłokietnik.</w:t>
            </w:r>
          </w:p>
        </w:tc>
      </w:tr>
      <w:tr w:rsidR="009E5A46" w:rsidRPr="009E5A46" w:rsidTr="00A432FC">
        <w:trPr>
          <w:trHeight w:val="564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30.</w:t>
            </w: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F55409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Szafa na sprzęt</w:t>
            </w:r>
          </w:p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 xml:space="preserve"> i dokumentację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(3 szt.)</w:t>
            </w:r>
          </w:p>
        </w:tc>
        <w:tc>
          <w:tcPr>
            <w:tcW w:w="61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Szafa z witryną dwudrzwiowa wymiary ok. 80</w:t>
            </w:r>
            <w:r w:rsidR="00EE2515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x 40</w:t>
            </w:r>
            <w:r w:rsidR="00EE2515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x 185</w:t>
            </w:r>
            <w:r w:rsidR="00EE2515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cm</w:t>
            </w: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, zamykana na klucz</w:t>
            </w:r>
          </w:p>
        </w:tc>
      </w:tr>
      <w:tr w:rsidR="009E5A46" w:rsidRPr="009E5A46" w:rsidTr="00A432FC">
        <w:trPr>
          <w:trHeight w:val="30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31.</w:t>
            </w: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Zestaw wyposażenia biurowego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(1 szt.)</w:t>
            </w:r>
          </w:p>
        </w:tc>
        <w:tc>
          <w:tcPr>
            <w:tcW w:w="61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Biurko proste płytowe wykonane z płyty wiórowej trójwarstwowej obustronnie laminowanej o wymiarach; wysokość 750mm; szerokość 1200mm; głębokość 670mm ; panel przedni biurka oraz boki biurka z DSP o grubości 18mm; blat o grubości 25mm+ krzesło do biurka obrotowe z regulacją wysokości siedziska i regulacją oparcia, podstawa pięcioramienna, nylonowa; amortyzator: podnośnik zapewniający płynną regulację wysokości siedziska, osłona plastykowa; mechanizm: typu CPT umożliwiający oddzielną zmianę kąta oparcia względem siedziska oraz zmianę odległości oparcia od siedziska i wysokość siedziska , możliwość blokady oparcia w wybranej pozycji; kółka : do powierzchni twardych; siedzisko i oparcie tapicerowane –pokrycie łatwo zmywalne, podłokietnik: stały z tworzywa sztucznego; podparcie lędźwi: regulowana wysokość oparcia. Wymiary: wysokość siedziska: 445-575mm; wysokość oparcia: 535-590mm; szerokość podstawy:535-545mm;średnica podstawy: 640-650mm</w:t>
            </w:r>
          </w:p>
        </w:tc>
      </w:tr>
      <w:tr w:rsidR="009E5A46" w:rsidRPr="009E5A46" w:rsidTr="00A432FC">
        <w:trPr>
          <w:trHeight w:val="30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32.</w:t>
            </w: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Tablica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(1 szt.)</w:t>
            </w:r>
          </w:p>
        </w:tc>
        <w:tc>
          <w:tcPr>
            <w:tcW w:w="61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Tablica biała </w:t>
            </w:r>
            <w:proofErr w:type="spellStart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suchościeralna</w:t>
            </w:r>
            <w:proofErr w:type="spellEnd"/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magnetyczna 200x120</w:t>
            </w:r>
            <w:r w:rsidR="00EE2515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c</w:t>
            </w:r>
            <w:r w:rsidR="00A432FC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m</w:t>
            </w:r>
          </w:p>
        </w:tc>
      </w:tr>
      <w:tr w:rsidR="009E5A46" w:rsidRPr="009E5A46" w:rsidTr="00A432FC">
        <w:trPr>
          <w:trHeight w:val="300"/>
        </w:trPr>
        <w:tc>
          <w:tcPr>
            <w:tcW w:w="9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4"/>
                <w:szCs w:val="24"/>
              </w:rPr>
              <w:t>33.</w:t>
            </w:r>
          </w:p>
        </w:tc>
        <w:tc>
          <w:tcPr>
            <w:tcW w:w="20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C4AAE" w:rsidRDefault="009E5A46" w:rsidP="00913B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kern w:val="1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</w:rPr>
              <w:t>Zestaw ramek plakatowych</w:t>
            </w:r>
          </w:p>
          <w:p w:rsidR="009E5A46" w:rsidRPr="009E5A46" w:rsidRDefault="003C4AAE" w:rsidP="00913B2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kern w:val="1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auto"/>
                <w:kern w:val="1"/>
              </w:rPr>
              <w:t>(1 szt.)</w:t>
            </w:r>
          </w:p>
        </w:tc>
        <w:tc>
          <w:tcPr>
            <w:tcW w:w="614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9E5A46" w:rsidRPr="009E5A46" w:rsidRDefault="009E5A46" w:rsidP="00A432F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auto"/>
                <w:kern w:val="1"/>
                <w:sz w:val="20"/>
                <w:szCs w:val="20"/>
                <w:lang w:eastAsia="en-US"/>
              </w:rPr>
            </w:pPr>
            <w:r w:rsidRPr="009E5A46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>Zestaw ramek plakatowych A0 zatrzaskowych</w:t>
            </w:r>
            <w:r w:rsidR="00EE2515">
              <w:rPr>
                <w:rFonts w:ascii="Calibri" w:eastAsia="Times New Roman" w:hAnsi="Calibri" w:cs="Times New Roman"/>
                <w:color w:val="auto"/>
                <w:kern w:val="1"/>
                <w:sz w:val="20"/>
                <w:szCs w:val="20"/>
              </w:rPr>
              <w:t xml:space="preserve"> (komplet składający się z min. 5 szt.).</w:t>
            </w:r>
          </w:p>
        </w:tc>
      </w:tr>
    </w:tbl>
    <w:p w:rsidR="0014669F" w:rsidRPr="00525D3F" w:rsidRDefault="0014669F" w:rsidP="00525D3F">
      <w:pPr>
        <w:tabs>
          <w:tab w:val="left" w:pos="1170"/>
        </w:tabs>
      </w:pPr>
    </w:p>
    <w:sectPr w:rsidR="0014669F" w:rsidRPr="00525D3F" w:rsidSect="001269E8">
      <w:headerReference w:type="default" r:id="rId9"/>
      <w:pgSz w:w="11906" w:h="16838"/>
      <w:pgMar w:top="1276" w:right="1417" w:bottom="127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3D" w:rsidRDefault="00FF603D" w:rsidP="0081204A">
      <w:pPr>
        <w:spacing w:after="0" w:line="240" w:lineRule="auto"/>
      </w:pPr>
      <w:r>
        <w:separator/>
      </w:r>
    </w:p>
  </w:endnote>
  <w:endnote w:type="continuationSeparator" w:id="0">
    <w:p w:rsidR="00FF603D" w:rsidRDefault="00FF603D" w:rsidP="0081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3D" w:rsidRDefault="00FF603D" w:rsidP="0081204A">
      <w:pPr>
        <w:spacing w:after="0" w:line="240" w:lineRule="auto"/>
      </w:pPr>
      <w:r>
        <w:separator/>
      </w:r>
    </w:p>
  </w:footnote>
  <w:footnote w:type="continuationSeparator" w:id="0">
    <w:p w:rsidR="00FF603D" w:rsidRDefault="00FF603D" w:rsidP="0081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4A" w:rsidRDefault="0081204A">
    <w:pPr>
      <w:pStyle w:val="Nagwek"/>
    </w:pPr>
    <w:r>
      <w:rPr>
        <w:noProof/>
      </w:rPr>
      <w:drawing>
        <wp:inline distT="0" distB="0" distL="0" distR="0" wp14:anchorId="33917467" wp14:editId="6E2B598C">
          <wp:extent cx="5760720" cy="4089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1BB"/>
    <w:multiLevelType w:val="hybridMultilevel"/>
    <w:tmpl w:val="F702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4EA"/>
    <w:multiLevelType w:val="hybridMultilevel"/>
    <w:tmpl w:val="F408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0F0"/>
    <w:multiLevelType w:val="multilevel"/>
    <w:tmpl w:val="5420C3B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360"/>
      </w:p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360"/>
      </w:p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360"/>
      </w:p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360"/>
      </w:p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360"/>
      </w:p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360"/>
      </w:p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360"/>
      </w:pPr>
    </w:lvl>
  </w:abstractNum>
  <w:abstractNum w:abstractNumId="3">
    <w:nsid w:val="15CF6A99"/>
    <w:multiLevelType w:val="multilevel"/>
    <w:tmpl w:val="69123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15D258AE"/>
    <w:multiLevelType w:val="multilevel"/>
    <w:tmpl w:val="B298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490BAA"/>
    <w:multiLevelType w:val="hybridMultilevel"/>
    <w:tmpl w:val="85AE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32500"/>
    <w:multiLevelType w:val="hybridMultilevel"/>
    <w:tmpl w:val="5E02E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74080"/>
    <w:multiLevelType w:val="multilevel"/>
    <w:tmpl w:val="52A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2040BC1"/>
    <w:multiLevelType w:val="multilevel"/>
    <w:tmpl w:val="464418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24E0ABD"/>
    <w:multiLevelType w:val="hybridMultilevel"/>
    <w:tmpl w:val="BDDA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0EED"/>
    <w:multiLevelType w:val="hybridMultilevel"/>
    <w:tmpl w:val="A454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F4B4E"/>
    <w:multiLevelType w:val="hybridMultilevel"/>
    <w:tmpl w:val="9C32B43C"/>
    <w:lvl w:ilvl="0" w:tplc="0415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3A4C3A70"/>
    <w:multiLevelType w:val="hybridMultilevel"/>
    <w:tmpl w:val="A454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E71C1"/>
    <w:multiLevelType w:val="multilevel"/>
    <w:tmpl w:val="7E5AE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nsid w:val="3B5F5FC0"/>
    <w:multiLevelType w:val="hybridMultilevel"/>
    <w:tmpl w:val="3F54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E1949"/>
    <w:multiLevelType w:val="hybridMultilevel"/>
    <w:tmpl w:val="06DA4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86806"/>
    <w:multiLevelType w:val="multilevel"/>
    <w:tmpl w:val="F0B84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495F7B89"/>
    <w:multiLevelType w:val="hybridMultilevel"/>
    <w:tmpl w:val="4274AF12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4C260280"/>
    <w:multiLevelType w:val="multilevel"/>
    <w:tmpl w:val="3F1C9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F2F109A"/>
    <w:multiLevelType w:val="multilevel"/>
    <w:tmpl w:val="39EA3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nsid w:val="53CF7F80"/>
    <w:multiLevelType w:val="multilevel"/>
    <w:tmpl w:val="3502D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59B372D4"/>
    <w:multiLevelType w:val="hybridMultilevel"/>
    <w:tmpl w:val="0D26CA54"/>
    <w:lvl w:ilvl="0" w:tplc="5448CD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C606B"/>
    <w:multiLevelType w:val="multilevel"/>
    <w:tmpl w:val="8826BD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BC53251"/>
    <w:multiLevelType w:val="hybridMultilevel"/>
    <w:tmpl w:val="0750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22BC2"/>
    <w:multiLevelType w:val="hybridMultilevel"/>
    <w:tmpl w:val="E616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736EF"/>
    <w:multiLevelType w:val="multilevel"/>
    <w:tmpl w:val="548E4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7D003EEF"/>
    <w:multiLevelType w:val="hybridMultilevel"/>
    <w:tmpl w:val="2416BD6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13"/>
  </w:num>
  <w:num w:numId="5">
    <w:abstractNumId w:val="19"/>
  </w:num>
  <w:num w:numId="6">
    <w:abstractNumId w:val="16"/>
  </w:num>
  <w:num w:numId="7">
    <w:abstractNumId w:val="22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7"/>
  </w:num>
  <w:num w:numId="14">
    <w:abstractNumId w:val="18"/>
  </w:num>
  <w:num w:numId="15">
    <w:abstractNumId w:val="2"/>
  </w:num>
  <w:num w:numId="16">
    <w:abstractNumId w:val="4"/>
  </w:num>
  <w:num w:numId="17">
    <w:abstractNumId w:val="8"/>
  </w:num>
  <w:num w:numId="18">
    <w:abstractNumId w:val="14"/>
  </w:num>
  <w:num w:numId="19">
    <w:abstractNumId w:val="26"/>
  </w:num>
  <w:num w:numId="20">
    <w:abstractNumId w:val="21"/>
  </w:num>
  <w:num w:numId="21">
    <w:abstractNumId w:val="23"/>
  </w:num>
  <w:num w:numId="22">
    <w:abstractNumId w:val="24"/>
  </w:num>
  <w:num w:numId="23">
    <w:abstractNumId w:val="11"/>
  </w:num>
  <w:num w:numId="24">
    <w:abstractNumId w:val="1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9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9F"/>
    <w:rsid w:val="00054FD3"/>
    <w:rsid w:val="0005646F"/>
    <w:rsid w:val="001269E8"/>
    <w:rsid w:val="0014669F"/>
    <w:rsid w:val="001B6CC4"/>
    <w:rsid w:val="00250AFD"/>
    <w:rsid w:val="0033473E"/>
    <w:rsid w:val="003C4AAE"/>
    <w:rsid w:val="003F563E"/>
    <w:rsid w:val="00442B5B"/>
    <w:rsid w:val="00525D3F"/>
    <w:rsid w:val="00757BC8"/>
    <w:rsid w:val="0081204A"/>
    <w:rsid w:val="008317A9"/>
    <w:rsid w:val="00835809"/>
    <w:rsid w:val="008B096B"/>
    <w:rsid w:val="00913B28"/>
    <w:rsid w:val="0092688E"/>
    <w:rsid w:val="009420C8"/>
    <w:rsid w:val="00987028"/>
    <w:rsid w:val="009C17C1"/>
    <w:rsid w:val="009E5A46"/>
    <w:rsid w:val="00A432FC"/>
    <w:rsid w:val="00A7187B"/>
    <w:rsid w:val="00AB6C5C"/>
    <w:rsid w:val="00B3790E"/>
    <w:rsid w:val="00B87628"/>
    <w:rsid w:val="00D31F37"/>
    <w:rsid w:val="00D63A6C"/>
    <w:rsid w:val="00E825A2"/>
    <w:rsid w:val="00EE2515"/>
    <w:rsid w:val="00F55409"/>
    <w:rsid w:val="00F90982"/>
    <w:rsid w:val="00FA0868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b/>
      <w:sz w:val="24"/>
    </w:rPr>
  </w:style>
  <w:style w:type="character" w:customStyle="1" w:styleId="ListLabel2">
    <w:name w:val="ListLabel 2"/>
    <w:qFormat/>
    <w:rPr>
      <w:rFonts w:ascii="Calibri" w:hAnsi="Calibri" w:cs="Symbol"/>
      <w:b/>
      <w:sz w:val="24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b/>
      <w:sz w:val="24"/>
    </w:rPr>
  </w:style>
  <w:style w:type="character" w:customStyle="1" w:styleId="ListLabel5">
    <w:name w:val="ListLabel 5"/>
    <w:qFormat/>
    <w:rPr>
      <w:rFonts w:ascii="Calibri" w:hAnsi="Calibri" w:cs="Symbol"/>
      <w:b/>
      <w:sz w:val="24"/>
    </w:rPr>
  </w:style>
  <w:style w:type="character" w:customStyle="1" w:styleId="ListLabel6">
    <w:name w:val="ListLabel 6"/>
    <w:qFormat/>
    <w:rPr>
      <w:rFonts w:ascii="Calibri" w:hAnsi="Calibri" w:cs="Symbol"/>
      <w:b/>
      <w:sz w:val="24"/>
    </w:rPr>
  </w:style>
  <w:style w:type="character" w:customStyle="1" w:styleId="ListLabel7">
    <w:name w:val="ListLabel 7"/>
    <w:qFormat/>
    <w:rPr>
      <w:rFonts w:ascii="Calibri" w:hAnsi="Calibri" w:cs="Symbol"/>
      <w:b/>
      <w:sz w:val="24"/>
    </w:rPr>
  </w:style>
  <w:style w:type="character" w:customStyle="1" w:styleId="ListLabel8">
    <w:name w:val="ListLabel 8"/>
    <w:qFormat/>
    <w:rPr>
      <w:rFonts w:ascii="Calibri" w:hAnsi="Calibri" w:cs="Symbol"/>
      <w:b/>
      <w:sz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ascii="Calibri" w:hAnsi="Calibri" w:cs="Symbol"/>
      <w:b/>
      <w:sz w:val="24"/>
    </w:rPr>
  </w:style>
  <w:style w:type="character" w:customStyle="1" w:styleId="ListLabel11">
    <w:name w:val="ListLabel 11"/>
    <w:qFormat/>
    <w:rPr>
      <w:rFonts w:ascii="Calibri" w:hAnsi="Calibri" w:cs="Symbol"/>
      <w:b/>
      <w:sz w:val="24"/>
    </w:rPr>
  </w:style>
  <w:style w:type="character" w:customStyle="1" w:styleId="ListLabel12">
    <w:name w:val="ListLabel 12"/>
    <w:qFormat/>
    <w:rPr>
      <w:rFonts w:ascii="Calibri" w:hAnsi="Calibri" w:cs="Symbol"/>
      <w:b/>
      <w:sz w:val="24"/>
    </w:rPr>
  </w:style>
  <w:style w:type="character" w:customStyle="1" w:styleId="ListLabel13">
    <w:name w:val="ListLabel 13"/>
    <w:qFormat/>
    <w:rPr>
      <w:rFonts w:ascii="Calibri" w:hAnsi="Calibri" w:cs="Symbol"/>
      <w:b/>
      <w:sz w:val="24"/>
    </w:rPr>
  </w:style>
  <w:style w:type="character" w:customStyle="1" w:styleId="ListLabel14">
    <w:name w:val="ListLabel 14"/>
    <w:qFormat/>
    <w:rPr>
      <w:rFonts w:ascii="Calibri" w:hAnsi="Calibri" w:cs="Symbol"/>
      <w:b/>
      <w:sz w:val="24"/>
    </w:rPr>
  </w:style>
  <w:style w:type="character" w:customStyle="1" w:styleId="ListLabel15">
    <w:name w:val="ListLabel 15"/>
    <w:qFormat/>
    <w:rPr>
      <w:rFonts w:ascii="Calibri" w:hAnsi="Calibri" w:cs="Symbol"/>
      <w:b/>
      <w:sz w:val="24"/>
    </w:rPr>
  </w:style>
  <w:style w:type="character" w:customStyle="1" w:styleId="ListLabel16">
    <w:name w:val="ListLabel 16"/>
    <w:qFormat/>
    <w:rPr>
      <w:rFonts w:ascii="Calibri" w:hAnsi="Calibri" w:cs="Symbol"/>
      <w:b/>
      <w:sz w:val="24"/>
    </w:rPr>
  </w:style>
  <w:style w:type="character" w:customStyle="1" w:styleId="ListLabel17">
    <w:name w:val="ListLabel 17"/>
    <w:qFormat/>
    <w:rPr>
      <w:rFonts w:ascii="Calibri" w:hAnsi="Calibri" w:cs="Symbol"/>
      <w:b/>
      <w:sz w:val="24"/>
    </w:rPr>
  </w:style>
  <w:style w:type="character" w:customStyle="1" w:styleId="ListLabel18">
    <w:name w:val="ListLabel 18"/>
    <w:qFormat/>
    <w:rPr>
      <w:rFonts w:ascii="Calibri" w:hAnsi="Calibri" w:cs="Symbol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8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04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04A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8120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04A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4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b/>
      <w:sz w:val="24"/>
    </w:rPr>
  </w:style>
  <w:style w:type="character" w:customStyle="1" w:styleId="ListLabel2">
    <w:name w:val="ListLabel 2"/>
    <w:qFormat/>
    <w:rPr>
      <w:rFonts w:ascii="Calibri" w:hAnsi="Calibri" w:cs="Symbol"/>
      <w:b/>
      <w:sz w:val="24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b/>
      <w:sz w:val="24"/>
    </w:rPr>
  </w:style>
  <w:style w:type="character" w:customStyle="1" w:styleId="ListLabel5">
    <w:name w:val="ListLabel 5"/>
    <w:qFormat/>
    <w:rPr>
      <w:rFonts w:ascii="Calibri" w:hAnsi="Calibri" w:cs="Symbol"/>
      <w:b/>
      <w:sz w:val="24"/>
    </w:rPr>
  </w:style>
  <w:style w:type="character" w:customStyle="1" w:styleId="ListLabel6">
    <w:name w:val="ListLabel 6"/>
    <w:qFormat/>
    <w:rPr>
      <w:rFonts w:ascii="Calibri" w:hAnsi="Calibri" w:cs="Symbol"/>
      <w:b/>
      <w:sz w:val="24"/>
    </w:rPr>
  </w:style>
  <w:style w:type="character" w:customStyle="1" w:styleId="ListLabel7">
    <w:name w:val="ListLabel 7"/>
    <w:qFormat/>
    <w:rPr>
      <w:rFonts w:ascii="Calibri" w:hAnsi="Calibri" w:cs="Symbol"/>
      <w:b/>
      <w:sz w:val="24"/>
    </w:rPr>
  </w:style>
  <w:style w:type="character" w:customStyle="1" w:styleId="ListLabel8">
    <w:name w:val="ListLabel 8"/>
    <w:qFormat/>
    <w:rPr>
      <w:rFonts w:ascii="Calibri" w:hAnsi="Calibri" w:cs="Symbol"/>
      <w:b/>
      <w:sz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ascii="Calibri" w:hAnsi="Calibri" w:cs="Symbol"/>
      <w:b/>
      <w:sz w:val="24"/>
    </w:rPr>
  </w:style>
  <w:style w:type="character" w:customStyle="1" w:styleId="ListLabel11">
    <w:name w:val="ListLabel 11"/>
    <w:qFormat/>
    <w:rPr>
      <w:rFonts w:ascii="Calibri" w:hAnsi="Calibri" w:cs="Symbol"/>
      <w:b/>
      <w:sz w:val="24"/>
    </w:rPr>
  </w:style>
  <w:style w:type="character" w:customStyle="1" w:styleId="ListLabel12">
    <w:name w:val="ListLabel 12"/>
    <w:qFormat/>
    <w:rPr>
      <w:rFonts w:ascii="Calibri" w:hAnsi="Calibri" w:cs="Symbol"/>
      <w:b/>
      <w:sz w:val="24"/>
    </w:rPr>
  </w:style>
  <w:style w:type="character" w:customStyle="1" w:styleId="ListLabel13">
    <w:name w:val="ListLabel 13"/>
    <w:qFormat/>
    <w:rPr>
      <w:rFonts w:ascii="Calibri" w:hAnsi="Calibri" w:cs="Symbol"/>
      <w:b/>
      <w:sz w:val="24"/>
    </w:rPr>
  </w:style>
  <w:style w:type="character" w:customStyle="1" w:styleId="ListLabel14">
    <w:name w:val="ListLabel 14"/>
    <w:qFormat/>
    <w:rPr>
      <w:rFonts w:ascii="Calibri" w:hAnsi="Calibri" w:cs="Symbol"/>
      <w:b/>
      <w:sz w:val="24"/>
    </w:rPr>
  </w:style>
  <w:style w:type="character" w:customStyle="1" w:styleId="ListLabel15">
    <w:name w:val="ListLabel 15"/>
    <w:qFormat/>
    <w:rPr>
      <w:rFonts w:ascii="Calibri" w:hAnsi="Calibri" w:cs="Symbol"/>
      <w:b/>
      <w:sz w:val="24"/>
    </w:rPr>
  </w:style>
  <w:style w:type="character" w:customStyle="1" w:styleId="ListLabel16">
    <w:name w:val="ListLabel 16"/>
    <w:qFormat/>
    <w:rPr>
      <w:rFonts w:ascii="Calibri" w:hAnsi="Calibri" w:cs="Symbol"/>
      <w:b/>
      <w:sz w:val="24"/>
    </w:rPr>
  </w:style>
  <w:style w:type="character" w:customStyle="1" w:styleId="ListLabel17">
    <w:name w:val="ListLabel 17"/>
    <w:qFormat/>
    <w:rPr>
      <w:rFonts w:ascii="Calibri" w:hAnsi="Calibri" w:cs="Symbol"/>
      <w:b/>
      <w:sz w:val="24"/>
    </w:rPr>
  </w:style>
  <w:style w:type="character" w:customStyle="1" w:styleId="ListLabel18">
    <w:name w:val="ListLabel 18"/>
    <w:qFormat/>
    <w:rPr>
      <w:rFonts w:ascii="Calibri" w:hAnsi="Calibri" w:cs="Symbol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82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04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04A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81204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04A"/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04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desktop.html%20odczyt%20z%20dnia%2013.03.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4416</Words>
  <Characters>26498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Jarosław Stepiński</cp:lastModifiedBy>
  <cp:revision>25</cp:revision>
  <cp:lastPrinted>2018-04-13T09:25:00Z</cp:lastPrinted>
  <dcterms:created xsi:type="dcterms:W3CDTF">2018-06-06T09:04:00Z</dcterms:created>
  <dcterms:modified xsi:type="dcterms:W3CDTF">2018-08-01T09:24:00Z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