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4A" w:rsidRDefault="00AB6C5C" w:rsidP="003F563E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Postępowanie nr : DAG</w:t>
      </w:r>
      <w:r w:rsidR="0092688E">
        <w:rPr>
          <w:rFonts w:ascii="Times New Roman" w:eastAsia="Times New Roman" w:hAnsi="Times New Roman" w:cs="Times New Roman"/>
          <w:color w:val="auto"/>
          <w:lang w:eastAsia="ar-SA"/>
        </w:rPr>
        <w:t>/PN/</w:t>
      </w:r>
      <w:r>
        <w:rPr>
          <w:rFonts w:ascii="Times New Roman" w:eastAsia="Times New Roman" w:hAnsi="Times New Roman" w:cs="Times New Roman"/>
          <w:color w:val="auto"/>
          <w:lang w:eastAsia="ar-SA"/>
        </w:rPr>
        <w:t>11/</w:t>
      </w:r>
      <w:r w:rsidR="0081204A" w:rsidRPr="0081204A">
        <w:rPr>
          <w:rFonts w:ascii="Times New Roman" w:eastAsia="Times New Roman" w:hAnsi="Times New Roman" w:cs="Times New Roman"/>
          <w:color w:val="auto"/>
          <w:lang w:eastAsia="ar-SA"/>
        </w:rPr>
        <w:t>18</w:t>
      </w:r>
    </w:p>
    <w:p w:rsidR="003F563E" w:rsidRPr="003F563E" w:rsidRDefault="003F563E" w:rsidP="003F563E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6"/>
          <w:szCs w:val="6"/>
          <w:lang w:eastAsia="ar-SA"/>
        </w:rPr>
      </w:pPr>
    </w:p>
    <w:p w:rsidR="0081204A" w:rsidRPr="0081204A" w:rsidRDefault="0081204A" w:rsidP="0081204A">
      <w:pPr>
        <w:rPr>
          <w:rFonts w:ascii="Calibri" w:eastAsia="Calibri" w:hAnsi="Calibri" w:cs="Calibri"/>
          <w:b/>
          <w:color w:val="auto"/>
          <w:sz w:val="28"/>
        </w:rPr>
      </w:pPr>
      <w:r w:rsidRPr="0081204A">
        <w:rPr>
          <w:rFonts w:ascii="Calibri" w:eastAsia="Calibri" w:hAnsi="Calibri" w:cs="Calibri"/>
          <w:b/>
          <w:color w:val="auto"/>
          <w:sz w:val="28"/>
        </w:rPr>
        <w:t>Załącznik nr 1</w:t>
      </w:r>
    </w:p>
    <w:p w:rsidR="0081204A" w:rsidRPr="0081204A" w:rsidRDefault="0081204A" w:rsidP="0081204A">
      <w:pPr>
        <w:rPr>
          <w:rFonts w:ascii="Calibri" w:eastAsia="Calibri" w:hAnsi="Calibri" w:cs="Calibri"/>
          <w:color w:val="auto"/>
          <w:sz w:val="28"/>
        </w:rPr>
      </w:pPr>
      <w:r w:rsidRPr="0081204A">
        <w:rPr>
          <w:rFonts w:ascii="Calibri" w:eastAsia="Calibri" w:hAnsi="Calibri" w:cs="Calibri"/>
          <w:color w:val="auto"/>
          <w:sz w:val="28"/>
        </w:rPr>
        <w:t>Szczegółowy opis przedmiotu zamówienia</w:t>
      </w:r>
    </w:p>
    <w:p w:rsidR="0081204A" w:rsidRPr="0081204A" w:rsidRDefault="0081204A" w:rsidP="0081204A">
      <w:pPr>
        <w:rPr>
          <w:rFonts w:ascii="Calibri" w:eastAsia="Calibri" w:hAnsi="Calibri" w:cs="Calibri"/>
          <w:b/>
          <w:color w:val="auto"/>
          <w:sz w:val="28"/>
        </w:rPr>
      </w:pPr>
      <w:r w:rsidRPr="0081204A">
        <w:rPr>
          <w:rFonts w:ascii="Calibri" w:eastAsia="Calibri" w:hAnsi="Calibri" w:cs="Calibri"/>
          <w:b/>
          <w:color w:val="auto"/>
          <w:sz w:val="28"/>
        </w:rPr>
        <w:t xml:space="preserve">Laboratorium </w:t>
      </w:r>
      <w:r w:rsidR="0092688E">
        <w:rPr>
          <w:rFonts w:ascii="Calibri" w:eastAsia="Calibri" w:hAnsi="Calibri" w:cs="Calibri"/>
          <w:b/>
          <w:color w:val="auto"/>
          <w:sz w:val="28"/>
        </w:rPr>
        <w:t>technologii informacyjnej</w:t>
      </w:r>
      <w:r w:rsidRPr="0081204A">
        <w:rPr>
          <w:rFonts w:ascii="Calibri" w:eastAsia="Calibri" w:hAnsi="Calibri" w:cs="Calibri"/>
          <w:b/>
          <w:color w:val="auto"/>
          <w:sz w:val="28"/>
        </w:rPr>
        <w:t>.</w:t>
      </w:r>
    </w:p>
    <w:p w:rsidR="0081204A" w:rsidRPr="0081204A" w:rsidRDefault="0081204A" w:rsidP="0081204A">
      <w:pPr>
        <w:rPr>
          <w:rFonts w:ascii="Calibri" w:eastAsia="Calibri" w:hAnsi="Calibri" w:cs="Calibri"/>
          <w:b/>
          <w:color w:val="auto"/>
          <w:sz w:val="28"/>
        </w:rPr>
      </w:pPr>
      <w:r w:rsidRPr="0081204A">
        <w:rPr>
          <w:rFonts w:ascii="Calibri" w:eastAsia="Calibri" w:hAnsi="Calibri" w:cs="Calibri"/>
          <w:b/>
          <w:color w:val="auto"/>
          <w:sz w:val="28"/>
        </w:rPr>
        <w:t>Zad.1</w:t>
      </w:r>
    </w:p>
    <w:p w:rsidR="0081204A" w:rsidRDefault="0092688E" w:rsidP="0081204A">
      <w:pPr>
        <w:numPr>
          <w:ilvl w:val="0"/>
          <w:numId w:val="8"/>
        </w:numPr>
        <w:contextualSpacing/>
        <w:rPr>
          <w:rFonts w:ascii="Calibri" w:eastAsia="Calibri" w:hAnsi="Calibri" w:cs="Calibri"/>
          <w:b/>
          <w:color w:val="auto"/>
          <w:sz w:val="24"/>
        </w:rPr>
      </w:pPr>
      <w:r>
        <w:rPr>
          <w:rFonts w:ascii="Calibri" w:eastAsia="Calibri" w:hAnsi="Calibri" w:cs="Calibri"/>
          <w:b/>
          <w:color w:val="auto"/>
          <w:sz w:val="24"/>
        </w:rPr>
        <w:t>Zestaw komputerowy - 25</w:t>
      </w:r>
      <w:r w:rsidR="0081204A" w:rsidRPr="0081204A">
        <w:rPr>
          <w:rFonts w:ascii="Calibri" w:eastAsia="Calibri" w:hAnsi="Calibri" w:cs="Calibri"/>
          <w:b/>
          <w:color w:val="auto"/>
          <w:sz w:val="24"/>
        </w:rPr>
        <w:t xml:space="preserve"> sztuk</w:t>
      </w:r>
    </w:p>
    <w:tbl>
      <w:tblPr>
        <w:tblW w:w="9157" w:type="dxa"/>
        <w:tblInd w:w="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7449"/>
      </w:tblGrid>
      <w:tr w:rsidR="003F563E" w:rsidRPr="00FA0868" w:rsidTr="00A07E01"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FA0868">
              <w:rPr>
                <w:rFonts w:eastAsia="Calibri" w:cs="Calibri"/>
                <w:b/>
                <w:color w:val="000000"/>
                <w:sz w:val="20"/>
              </w:rPr>
              <w:t>Płyta główna</w:t>
            </w:r>
            <w:r w:rsidRPr="00FA0868">
              <w:rPr>
                <w:rFonts w:eastAsia="Calibri" w:cs="Calibri"/>
                <w:color w:val="000000"/>
                <w:sz w:val="20"/>
              </w:rPr>
              <w:t>: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umożliwiająca podłączenie i pracę wszystkich wymienionych podzespołów, jeden slot na procesor, Wyposażona co najmniej w złącza:</w:t>
            </w:r>
          </w:p>
          <w:p w:rsidR="003F563E" w:rsidRPr="00FA0868" w:rsidRDefault="003F563E" w:rsidP="00A07E01">
            <w:pPr>
              <w:spacing w:after="0" w:line="240" w:lineRule="auto"/>
            </w:pPr>
            <w:r w:rsidRPr="00FA0868">
              <w:rPr>
                <w:color w:val="000000"/>
                <w:sz w:val="20"/>
                <w:szCs w:val="20"/>
              </w:rPr>
              <w:t xml:space="preserve">- min. 4 </w:t>
            </w:r>
            <w:proofErr w:type="spellStart"/>
            <w:r w:rsidRPr="00FA0868">
              <w:rPr>
                <w:color w:val="000000"/>
                <w:sz w:val="20"/>
                <w:szCs w:val="20"/>
              </w:rPr>
              <w:t>sloty</w:t>
            </w:r>
            <w:proofErr w:type="spellEnd"/>
            <w:r w:rsidRPr="00FA0868">
              <w:rPr>
                <w:color w:val="000000"/>
                <w:sz w:val="20"/>
                <w:szCs w:val="20"/>
              </w:rPr>
              <w:t xml:space="preserve"> PCI, w tym:</w:t>
            </w:r>
          </w:p>
          <w:p w:rsidR="003F563E" w:rsidRPr="00FA0868" w:rsidRDefault="003F563E" w:rsidP="003F563E">
            <w:pPr>
              <w:numPr>
                <w:ilvl w:val="0"/>
                <w:numId w:val="13"/>
              </w:numPr>
              <w:tabs>
                <w:tab w:val="clear" w:pos="720"/>
                <w:tab w:val="num" w:pos="496"/>
              </w:tabs>
              <w:spacing w:after="0" w:line="240" w:lineRule="auto"/>
              <w:ind w:left="496" w:hanging="283"/>
            </w:pPr>
            <w:proofErr w:type="spellStart"/>
            <w:r w:rsidRPr="00FA0868">
              <w:rPr>
                <w:color w:val="000000"/>
                <w:sz w:val="20"/>
                <w:szCs w:val="20"/>
              </w:rPr>
              <w:t>sloty</w:t>
            </w:r>
            <w:proofErr w:type="spellEnd"/>
            <w:r w:rsidRPr="00FA0868">
              <w:rPr>
                <w:color w:val="000000"/>
                <w:sz w:val="20"/>
                <w:szCs w:val="20"/>
              </w:rPr>
              <w:t xml:space="preserve"> PCI-E 1 x 1 szt.</w:t>
            </w:r>
          </w:p>
          <w:p w:rsidR="003F563E" w:rsidRPr="00FA0868" w:rsidRDefault="003F563E" w:rsidP="003F563E">
            <w:pPr>
              <w:numPr>
                <w:ilvl w:val="0"/>
                <w:numId w:val="13"/>
              </w:numPr>
              <w:tabs>
                <w:tab w:val="clear" w:pos="720"/>
                <w:tab w:val="num" w:pos="496"/>
              </w:tabs>
              <w:spacing w:after="0" w:line="240" w:lineRule="auto"/>
              <w:ind w:left="496" w:hanging="283"/>
            </w:pPr>
            <w:proofErr w:type="spellStart"/>
            <w:r w:rsidRPr="00FA0868">
              <w:rPr>
                <w:color w:val="000000"/>
                <w:sz w:val="20"/>
                <w:szCs w:val="20"/>
              </w:rPr>
              <w:t>sloty</w:t>
            </w:r>
            <w:proofErr w:type="spellEnd"/>
            <w:r w:rsidRPr="00FA0868">
              <w:rPr>
                <w:color w:val="000000"/>
                <w:sz w:val="20"/>
                <w:szCs w:val="20"/>
              </w:rPr>
              <w:t xml:space="preserve"> PCI-E 16 x 1 szt.</w:t>
            </w:r>
          </w:p>
          <w:p w:rsidR="003F563E" w:rsidRPr="00FA0868" w:rsidRDefault="003F563E" w:rsidP="00A07E01">
            <w:pPr>
              <w:spacing w:after="0" w:line="240" w:lineRule="auto"/>
            </w:pPr>
            <w:r w:rsidRPr="00FA0868">
              <w:rPr>
                <w:color w:val="000000"/>
                <w:sz w:val="20"/>
                <w:szCs w:val="20"/>
              </w:rPr>
              <w:t>- min. 2 złącza SATA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Procesor: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3F563E">
            <w:pPr>
              <w:spacing w:after="0" w:line="240" w:lineRule="auto"/>
              <w:jc w:val="both"/>
            </w:pPr>
            <w:r w:rsidRPr="00FA0868">
              <w:rPr>
                <w:color w:val="000000"/>
                <w:sz w:val="20"/>
                <w:szCs w:val="20"/>
              </w:rPr>
              <w:t xml:space="preserve">obsługa instrukcji 64-bitowych, wsparcie dla technologii wirtualizacji VT-x/EPT, VT-d lub AMD-V/RVI i AMD-Vi, obsługa instrukcji EPT lub RVI, czterordzeniowy, ośmiowątkowy klasy x86, osiągający wynik dla jednego procesora: </w:t>
            </w:r>
            <w:proofErr w:type="spellStart"/>
            <w:r w:rsidRPr="00FA0868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FA0868">
              <w:rPr>
                <w:color w:val="000000"/>
                <w:sz w:val="20"/>
                <w:szCs w:val="20"/>
              </w:rPr>
              <w:t xml:space="preserve"> CPU Mark &gt; 10700 (wg </w:t>
            </w:r>
            <w:hyperlink r:id="rId8">
              <w:bookmarkStart w:id="1" w:name="__DdeLink__115_1825729812"/>
              <w:r w:rsidRPr="00FA0868">
                <w:rPr>
                  <w:rStyle w:val="czeinternetowe"/>
                  <w:color w:val="000000"/>
                  <w:sz w:val="20"/>
                  <w:szCs w:val="20"/>
                </w:rPr>
                <w:t>www.cpubenchmark.net/desktop.html</w:t>
              </w:r>
            </w:hyperlink>
            <w:bookmarkEnd w:id="1"/>
            <w:r w:rsidRPr="00FA0868">
              <w:rPr>
                <w:color w:val="000000"/>
                <w:sz w:val="20"/>
                <w:szCs w:val="20"/>
              </w:rPr>
              <w:t xml:space="preserve"> odczyt z dnia 26.06.2018.)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Pamięć RAM: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Min: 16GB DDR4 z możliwością rozbudowy do min 32GB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Dyski twarde: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Min: 1TB SATA II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 xml:space="preserve">Karta </w:t>
            </w:r>
          </w:p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graficzna: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jc w:val="both"/>
            </w:pPr>
            <w:r w:rsidRPr="00FA0868">
              <w:rPr>
                <w:color w:val="000000"/>
                <w:sz w:val="20"/>
                <w:szCs w:val="20"/>
              </w:rPr>
              <w:t xml:space="preserve">zintegrowana z płytą główną, zgodna ze standardem </w:t>
            </w:r>
            <w:proofErr w:type="spellStart"/>
            <w:r w:rsidRPr="00FA0868">
              <w:rPr>
                <w:color w:val="000000"/>
                <w:sz w:val="20"/>
                <w:szCs w:val="20"/>
              </w:rPr>
              <w:t>OpenGL</w:t>
            </w:r>
            <w:proofErr w:type="spellEnd"/>
            <w:r w:rsidRPr="00FA0868">
              <w:rPr>
                <w:color w:val="000000"/>
                <w:sz w:val="20"/>
                <w:szCs w:val="20"/>
              </w:rPr>
              <w:t xml:space="preserve"> 4.4 oraz DIRECTX 12, posiadająca dwa (DVI, HDMI, Display Port – zgodne z oferowanym monitorem i kartą graficzną) złącza o rozdzielczościach min 1920x1080 pikseli,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tabs>
                <w:tab w:val="left" w:pos="1650"/>
              </w:tabs>
              <w:spacing w:after="0" w:line="240" w:lineRule="auto"/>
              <w:ind w:right="-283"/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Komunikacja: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 xml:space="preserve">- zintegrowana karta sieciowa 10/100/1000 </w:t>
            </w:r>
            <w:proofErr w:type="spellStart"/>
            <w:r w:rsidRPr="00FA0868">
              <w:rPr>
                <w:sz w:val="20"/>
                <w:szCs w:val="20"/>
              </w:rPr>
              <w:t>Mbit</w:t>
            </w:r>
            <w:proofErr w:type="spellEnd"/>
            <w:r w:rsidRPr="00FA0868">
              <w:rPr>
                <w:sz w:val="20"/>
                <w:szCs w:val="20"/>
              </w:rPr>
              <w:t>/s</w:t>
            </w:r>
          </w:p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>- bezprzewodowa karta sieciowa IEEE 802.11b/g/n</w:t>
            </w:r>
          </w:p>
          <w:p w:rsidR="003F563E" w:rsidRPr="00FA0868" w:rsidRDefault="003F563E" w:rsidP="00A07E01">
            <w:pPr>
              <w:spacing w:after="0" w:line="240" w:lineRule="auto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 xml:space="preserve">- moduł Bluetooth 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Porty: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3F563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Karta muzyczna Zintegrowana z płytą główną, zgodna z High Definition (HD) Audio, karta sieciowa zintegrowana z płytą główną.</w:t>
            </w:r>
          </w:p>
          <w:p w:rsidR="003F563E" w:rsidRPr="00FA0868" w:rsidRDefault="003F563E" w:rsidP="003F563E">
            <w:pPr>
              <w:spacing w:after="0" w:line="240" w:lineRule="auto"/>
              <w:jc w:val="both"/>
            </w:pPr>
            <w:r w:rsidRPr="00FA0868">
              <w:rPr>
                <w:color w:val="000000"/>
                <w:sz w:val="20"/>
                <w:szCs w:val="20"/>
              </w:rPr>
              <w:t>Porty:</w:t>
            </w:r>
          </w:p>
          <w:p w:rsidR="003F563E" w:rsidRPr="00FA0868" w:rsidRDefault="003F563E" w:rsidP="00A07E01">
            <w:pPr>
              <w:spacing w:after="0" w:line="240" w:lineRule="auto"/>
            </w:pPr>
            <w:r w:rsidRPr="00FA0868">
              <w:rPr>
                <w:color w:val="000000"/>
                <w:sz w:val="20"/>
                <w:szCs w:val="20"/>
              </w:rPr>
              <w:t>min 6 portów USB (min. 2 z przodu), w tym:</w:t>
            </w:r>
            <w:r w:rsidRPr="00FA0868">
              <w:rPr>
                <w:color w:val="000000"/>
                <w:sz w:val="20"/>
                <w:szCs w:val="20"/>
              </w:rPr>
              <w:br/>
              <w:t xml:space="preserve">- min 2 porty USB 2.0 </w:t>
            </w:r>
            <w:r w:rsidRPr="00FA0868">
              <w:rPr>
                <w:color w:val="000000"/>
                <w:sz w:val="20"/>
                <w:szCs w:val="20"/>
              </w:rPr>
              <w:br/>
              <w:t>- min 2 porty USB 3.0 (min 1 z przodu)</w:t>
            </w:r>
            <w:r w:rsidRPr="00FA0868">
              <w:rPr>
                <w:color w:val="000000"/>
                <w:sz w:val="20"/>
                <w:szCs w:val="20"/>
              </w:rPr>
              <w:br/>
              <w:t>1 wejście mikrofonowe</w:t>
            </w:r>
            <w:r w:rsidRPr="00FA0868">
              <w:rPr>
                <w:color w:val="000000"/>
                <w:sz w:val="20"/>
                <w:szCs w:val="20"/>
              </w:rPr>
              <w:br/>
              <w:t>1 gniazdo słuchawkowe</w:t>
            </w:r>
            <w:r w:rsidRPr="00FA0868">
              <w:rPr>
                <w:color w:val="000000"/>
                <w:sz w:val="20"/>
                <w:szCs w:val="20"/>
              </w:rPr>
              <w:br/>
            </w:r>
            <w:r w:rsidRPr="00FA0868">
              <w:rPr>
                <w:b/>
                <w:bCs/>
                <w:color w:val="000000"/>
                <w:sz w:val="20"/>
                <w:szCs w:val="20"/>
              </w:rPr>
              <w:t>Tył</w:t>
            </w:r>
          </w:p>
          <w:p w:rsidR="003F563E" w:rsidRPr="00FA0868" w:rsidRDefault="003F563E" w:rsidP="00A07E01">
            <w:pPr>
              <w:spacing w:after="0" w:line="240" w:lineRule="auto"/>
            </w:pPr>
            <w:r w:rsidRPr="00FA0868">
              <w:rPr>
                <w:color w:val="000000"/>
                <w:sz w:val="20"/>
                <w:szCs w:val="20"/>
              </w:rPr>
              <w:t>2 złącza video – w tym min 1 zgodne z proponowanym monitorem</w:t>
            </w:r>
            <w:r w:rsidRPr="00FA0868">
              <w:rPr>
                <w:color w:val="000000"/>
                <w:sz w:val="20"/>
                <w:szCs w:val="20"/>
              </w:rPr>
              <w:br/>
              <w:t>1 złącze sieciowe RJ45/1GB Ethernet</w:t>
            </w:r>
            <w:r w:rsidRPr="00FA0868">
              <w:rPr>
                <w:color w:val="000000"/>
                <w:sz w:val="20"/>
                <w:szCs w:val="20"/>
              </w:rPr>
              <w:br/>
              <w:t>1 liniowe wejście audio/mikrofonu</w:t>
            </w:r>
            <w:r w:rsidRPr="00FA0868">
              <w:rPr>
                <w:color w:val="000000"/>
                <w:sz w:val="20"/>
                <w:szCs w:val="20"/>
              </w:rPr>
              <w:br/>
              <w:t>1 liniowe wyjście audio</w:t>
            </w:r>
          </w:p>
          <w:p w:rsidR="003F563E" w:rsidRPr="00FA0868" w:rsidRDefault="003F563E" w:rsidP="00A07E01">
            <w:pPr>
              <w:spacing w:after="0" w:line="240" w:lineRule="auto"/>
            </w:pPr>
            <w:r w:rsidRPr="00FA0868">
              <w:rPr>
                <w:color w:val="000000"/>
                <w:sz w:val="20"/>
                <w:szCs w:val="20"/>
              </w:rPr>
              <w:t>1 szeregowe RS232/DB9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Akcesoria: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Klawiatura typu Windows pełnowymiarowa, układ typu QWERTY US, przewodowa podłączana przez port USB,</w:t>
            </w:r>
          </w:p>
          <w:p w:rsidR="003F563E" w:rsidRPr="00FA0868" w:rsidRDefault="003F563E" w:rsidP="00A07E0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Mysz Przewodowa, laserowa dwu przyciskowa mysz z rolką podłączana do portu USB,</w:t>
            </w:r>
          </w:p>
          <w:p w:rsidR="003F563E" w:rsidRPr="00FA0868" w:rsidRDefault="003F563E" w:rsidP="00A07E0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Napęd optyczny DVD-ROM,</w:t>
            </w:r>
          </w:p>
          <w:p w:rsidR="003F563E" w:rsidRPr="00FA0868" w:rsidRDefault="003F563E" w:rsidP="00A07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0868">
              <w:rPr>
                <w:color w:val="000000"/>
                <w:sz w:val="20"/>
                <w:szCs w:val="20"/>
              </w:rPr>
              <w:t>Zasilacz o parametrach wystarczających dla pracy pozostałych wymienionych podzespołów.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rFonts w:ascii="Calibri" w:eastAsia="Calibri" w:hAnsi="Calibri" w:cs="Calibri"/>
              </w:rPr>
            </w:pPr>
            <w:r w:rsidRPr="00FA0868">
              <w:rPr>
                <w:rFonts w:eastAsia="Calibri" w:cs="Calibri"/>
                <w:b/>
                <w:color w:val="000000"/>
                <w:sz w:val="20"/>
              </w:rPr>
              <w:t>Monitor:</w:t>
            </w:r>
          </w:p>
        </w:tc>
        <w:tc>
          <w:tcPr>
            <w:tcW w:w="74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jc w:val="both"/>
            </w:pPr>
            <w:r w:rsidRPr="00FA0868">
              <w:rPr>
                <w:rFonts w:eastAsia="Calibri" w:cs="Calibri"/>
                <w:color w:val="000000"/>
                <w:sz w:val="20"/>
                <w:szCs w:val="20"/>
              </w:rPr>
              <w:t>Monitor Typ Panelu: TFT S-IPS, Przekątna: 24“, Rozdzielczość:  1920x1080, Kąty widzenia: min. 178° w poziomie /178° w pionie, Jasność: 250 cd/m</w:t>
            </w:r>
            <w:r w:rsidRPr="00FA0868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FA0868">
              <w:rPr>
                <w:rFonts w:eastAsia="Calibri" w:cs="Calibri"/>
                <w:color w:val="000000"/>
                <w:sz w:val="20"/>
                <w:szCs w:val="20"/>
              </w:rPr>
              <w:t>, Kontrast: 1000:1, Złącza Display Port, kompatybilne z oferowaną kartą graficzną, Funkcje: Złącza OSD wyświetlane na ekranie, automatyczne ustawienia, regulacja nachylenia ekranu w zakresie -5/+30 stopni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</w:pPr>
            <w:r w:rsidRPr="00FA0868">
              <w:rPr>
                <w:rFonts w:eastAsia="Calibri" w:cs="Calibri"/>
                <w:b/>
                <w:bCs/>
                <w:color w:val="000000"/>
                <w:sz w:val="20"/>
              </w:rPr>
              <w:lastRenderedPageBreak/>
              <w:t>Wsparcie: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>- producent udostępnia dedykowany dla danego modelu komputera system aktualizacji oprogramowania (sterowniki), umożliwiający automatyzację aktualizacji</w:t>
            </w:r>
          </w:p>
          <w:p w:rsidR="003F563E" w:rsidRPr="00FA0868" w:rsidRDefault="003F563E" w:rsidP="00A07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>- producent udostępnia dedykowane dla danego modelu komputera oprogramowanie pozwalające na zdalne zarządzanie systemem (aktualizacja oprogramowania, inwentaryzacja, diagnostyka, zmiana ustawień w tym BIOS)</w:t>
            </w:r>
          </w:p>
          <w:p w:rsidR="003F563E" w:rsidRPr="00FA0868" w:rsidRDefault="003F563E" w:rsidP="00A07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>- komputer został certyfikowany na zgodność z systemem Windows 10 x64 – znajduje się na liście Windows Compatible Product List</w:t>
            </w:r>
          </w:p>
        </w:tc>
      </w:tr>
      <w:tr w:rsidR="003F563E" w:rsidRPr="00FA0868" w:rsidTr="00A07E01"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35" w:type="dxa"/>
            </w:tcMar>
          </w:tcPr>
          <w:p w:rsidR="003F563E" w:rsidRPr="00FA0868" w:rsidRDefault="003F563E" w:rsidP="00A07E01">
            <w:pPr>
              <w:spacing w:after="0" w:line="240" w:lineRule="auto"/>
              <w:ind w:right="-283"/>
              <w:rPr>
                <w:b/>
                <w:bCs/>
              </w:rPr>
            </w:pPr>
            <w:r w:rsidRPr="00FA0868">
              <w:rPr>
                <w:rFonts w:eastAsia="Calibri" w:cs="Calibri"/>
                <w:b/>
                <w:bCs/>
                <w:color w:val="000000"/>
                <w:sz w:val="20"/>
              </w:rPr>
              <w:t>Gwarancja: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3F563E" w:rsidRPr="00FA0868" w:rsidRDefault="003F563E" w:rsidP="00A07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0868">
              <w:rPr>
                <w:sz w:val="20"/>
                <w:szCs w:val="20"/>
              </w:rPr>
              <w:t>3 lata gwarancji typu NBD w miejscu zainstalowania</w:t>
            </w:r>
          </w:p>
        </w:tc>
      </w:tr>
    </w:tbl>
    <w:p w:rsidR="003F563E" w:rsidRPr="00FA0868" w:rsidRDefault="003F563E" w:rsidP="003F563E">
      <w:pPr>
        <w:ind w:left="720"/>
        <w:contextualSpacing/>
        <w:rPr>
          <w:rFonts w:ascii="Calibri" w:eastAsia="Calibri" w:hAnsi="Calibri" w:cs="Calibri"/>
          <w:b/>
          <w:color w:val="auto"/>
          <w:sz w:val="24"/>
        </w:rPr>
      </w:pPr>
    </w:p>
    <w:p w:rsidR="0081204A" w:rsidRPr="00FA0868" w:rsidRDefault="0092688E" w:rsidP="003F563E">
      <w:pPr>
        <w:pStyle w:val="Akapitzlist"/>
        <w:numPr>
          <w:ilvl w:val="0"/>
          <w:numId w:val="8"/>
        </w:numPr>
        <w:spacing w:after="0"/>
        <w:ind w:left="0"/>
        <w:rPr>
          <w:rFonts w:ascii="Calibri" w:eastAsia="Calibri" w:hAnsi="Calibri" w:cs="Calibri"/>
          <w:b/>
          <w:color w:val="auto"/>
          <w:sz w:val="24"/>
        </w:rPr>
      </w:pPr>
      <w:r w:rsidRPr="00FA0868">
        <w:rPr>
          <w:rFonts w:ascii="Calibri" w:eastAsia="Calibri" w:hAnsi="Calibri" w:cs="Calibri"/>
          <w:b/>
          <w:color w:val="auto"/>
          <w:sz w:val="24"/>
        </w:rPr>
        <w:t>Oprogramowanie biurowe – 25 sztuk</w:t>
      </w:r>
    </w:p>
    <w:p w:rsidR="003F563E" w:rsidRPr="00FA0868" w:rsidRDefault="003F563E" w:rsidP="003F563E">
      <w:p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Przedmiotem  zam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ówienia jest  dostawa  licencji  nieograniczonych  czasowo  na  oprogramowanie biurowe wymienione poniżej:</w:t>
      </w:r>
    </w:p>
    <w:p w:rsidR="003F563E" w:rsidRPr="00FA0868" w:rsidRDefault="003F563E" w:rsidP="003F563E">
      <w:pPr>
        <w:widowControl w:val="0"/>
        <w:numPr>
          <w:ilvl w:val="0"/>
          <w:numId w:val="15"/>
        </w:numPr>
        <w:shd w:val="clear" w:color="auto" w:fill="FFFFFF"/>
        <w:tabs>
          <w:tab w:val="clear" w:pos="727"/>
          <w:tab w:val="left" w:pos="713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25 licencji na oprogramowanie biurowe lub r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ównoważne.</w:t>
      </w:r>
    </w:p>
    <w:p w:rsidR="003F563E" w:rsidRPr="00FA0868" w:rsidRDefault="003F563E" w:rsidP="003F563E">
      <w:p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b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b/>
          <w:color w:val="000000"/>
          <w:lang w:bidi="hi-IN"/>
        </w:rPr>
        <w:t>Uwagi: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367" w:firstLine="0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Zamawiaj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ący nie dopuszcza dostawy licencji typu OEM, PKC.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713" w:right="29" w:hanging="346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Licencje musz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 pozwalać na przenoszenie pomiędzy stacjami roboczymi (np. w przypadku wymiany stacji roboczej).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713" w:right="29" w:hanging="346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Licencjonowanie musi uwzgl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ędniać prawo (w okresie przynajmniej 5 lat) do instalacji udostępnianych przez producenta uaktualnień i poprawek krytycznych i opcjonalnych do zakupionej wersji oprogramowania.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713" w:right="14" w:hanging="346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Wymagane jest zapewnienie 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żliwości korzystania z wcześniejszych wersji zamawianego oprogramowania i korzystania z kopii zamiennych (możliwość kopiowanie oprogramowania na wiele urządzeń przy wykorzystaniu jednego standardowego obrazu), z prawem do wielokrotnego użycia jednego obrazu dysku w procesie instalacji i tworzenia kopii zapasowych.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367" w:firstLine="0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Licencje musz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 być przeznaczone do użytku na terenie Rzeczpospolitej Polskiej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713" w:right="22" w:hanging="346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Zamawiaj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ący wymaga udzielenia uprawnień na stronie producenta oraz dostępu do kluczy licencyjnych w terminie do 20 dni od dnia zawarcia umowy.</w:t>
      </w:r>
    </w:p>
    <w:p w:rsidR="003F563E" w:rsidRPr="00FA0868" w:rsidRDefault="003F563E" w:rsidP="003F563E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spacing w:after="0" w:line="410" w:lineRule="exact"/>
        <w:ind w:left="713" w:right="22" w:hanging="346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Przez poj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ęcie „równoważne" Zamawiający przyjmuje oprogramowanie posiadające co najmniej poniższe funkcjonalności:</w:t>
      </w:r>
    </w:p>
    <w:p w:rsidR="003F563E" w:rsidRPr="00FA0868" w:rsidRDefault="003F563E" w:rsidP="003F563E">
      <w:p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b/>
          <w:color w:val="000000"/>
          <w:lang w:bidi="hi-IN"/>
        </w:rPr>
        <w:t>Warunki r</w:t>
      </w:r>
      <w:r w:rsidRPr="00FA0868">
        <w:rPr>
          <w:rFonts w:ascii="DejaVu LGC Serif" w:eastAsia="Times New Roman" w:hAnsi="DejaVu LGC Serif" w:cs="Times New Roman"/>
          <w:b/>
          <w:color w:val="000000"/>
          <w:lang w:bidi="hi-IN"/>
        </w:rPr>
        <w:t>ównoważności</w:t>
      </w:r>
    </w:p>
    <w:p w:rsidR="003F563E" w:rsidRPr="00FA0868" w:rsidRDefault="003F563E" w:rsidP="003F563E">
      <w:pPr>
        <w:shd w:val="clear" w:color="auto" w:fill="FFFFFF"/>
        <w:spacing w:after="0" w:line="410" w:lineRule="exact"/>
        <w:ind w:left="7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 pakiet r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ównoważy Zamawiający uzna oprogramowanie spełniające poniższe wymagania poprzez wbudowane mechanizmy, bez użycia dodatkowych aplikacji: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Wymagania odno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śnie interfejsu użytkownika: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8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Pe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łna polska wersja językowa interfejsu użytkownika.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8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Prostota i intuicyjno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ść obsługi, pozwalająca na pracę osobom nieposiadającym umiejętności technicznych.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698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lastRenderedPageBreak/>
        <w:t>Oprogramowanie  musi  umo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żliwiać  tworzenie  i  edycję  dokumentów  elektronicznych  w ustalonym formacie, który spełnia następujące warunki: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posiada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 kompletny i publicznie dost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ępny opis formatu,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ma zdefiniowany uk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ład informacji w postaci XML zgodnie z Załącznikiem 2 Rozporządzenia Rady Ministrów z dnia 12 kwietnia 2012 r. w sprawie Krajowych Ram Interoperacyjności, 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 xml:space="preserve">minimalnych wymagań dla rejestrów publicznych i wymiany informacji w postaci elektronicznej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oraz minimalnych wymagań dla systemów teleinformatycznych (Dz. U. 2012, poz. 526),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Oprogramowanie musi umo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żliwiać dostosowanie dokumentów i szablonów do potrzeb instytucji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 sk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ład oprogramowania muszą wchodzić narzędzia programistyczne umożliwiające automatyzację pracy i wymianę danych pomiędzy dokumentami i aplikacjami (język makropoleceń, język skryptowy).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żliwia wykorzystanie schematów XML,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wspiera w swojej specyfikacji podpis elektroniczny w formacie </w:t>
      </w:r>
      <w:proofErr w:type="spellStart"/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XAdES</w:t>
      </w:r>
      <w:proofErr w:type="spellEnd"/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,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Do aplikacji musi by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ć dostępna pełna dokumentacja w języku polskim.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żliwość zintegrowania uwierzytelniania użytkowników z usługą katalogową Active Directory</w:t>
      </w:r>
      <w:r w:rsidR="00B3790E"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-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żliwość aktywacji zainstalowanego pakietu poprzez mechanizmy wdrożonej usługi Active Directory.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wspomagające procesy migracji z poprzednich wersji pakietu i badania zgodności z dokumentami wytworzonymi w pakietach biurowych.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Oprogramowanie musi umo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żliwiać opatrywanie dokumentów metadanymi.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Pakiet zintegrowanych aplikacji biurowych musi zawiera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ć: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Edytor tekst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Arkusz kalkulacyjny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do przygotowywania i prowadzenia prezentacji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do tworzenia i wypełniania formularzy elektronicznych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do tworzenia drukowanych materiałów informacyjnych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do tworzenia i pracy z lokalną bazą danych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ędzie do zarządzania informacją prywat</w:t>
      </w:r>
      <w:r w:rsidR="00757BC8" w:rsidRPr="00FA0868">
        <w:rPr>
          <w:rFonts w:ascii="DejaVu LGC Serif" w:eastAsia="Times New Roman" w:hAnsi="DejaVu LGC Serif" w:cs="Times New Roman"/>
          <w:color w:val="000000"/>
          <w:lang w:bidi="hi-IN"/>
        </w:rPr>
        <w:t>n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 (pocztą elektroniczną, kalendarzem, kontaktami i zadaniami)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lastRenderedPageBreak/>
        <w:t>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ędzie do tworzenia notatek przy pomocy klawiatury lub notatek odręcznych na ekranie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ądzenia typu tablet PC z mechanizmem OCR.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Narzędzie komunikacji wielokanałowej stanowiące interfejs do systemu wiadomości błyskawicznych (tekstowych), komunikacji głosowej, komunikacji video.</w:t>
      </w: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Edytor tekstów musi umożliwiać: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i formatowanie tekstu w języku polskim wraz z obsługą języka polskiego w zakresie sprawdzania pisowni i poprawności gramatycznej oraz funkcjonalnością słownika wyrazów bliskoznacznych i autokorekty.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Wstawianie oraz formatowanie tabel.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Wstawianie oraz formatowanie obiekt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graficznych.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Wstawianie wykres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i tabel z arkusza kalkulacyjnego (wliczając tabele przestawne).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Automatyczne numerowanie rozdzia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łów, punktów, akapitów, tabel i rysunków.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Automatyczne tworzenie spis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ów treści.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62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Formatowanie nag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łówków i stopek stron.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Siedzenie i por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ównywanie zmian wprowadzonych przez użytkowników w dokumencie.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Tworzenie i edycję diagramów i schematów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Nagrywanie, tworzenie i 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makr automatyzujących wykonywanie czynności.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Okre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ślenie układu strony (pionowa/pozioma).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Wydruk dokument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ów.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Wykonywanie korespondencji seryjnej bazuj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ąc na danych adresowych pochodzących z arkusza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kalkulacyjnego i z narz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ędzia do zarządzania informacją prywatną. 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Pracę na dokumentach utworzonych przy pomocy Microsoft Word 2003 lub Microsoft Word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2007 i 2010 z zapewnieniem bezproblemowej konwersji wszystkich element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ów i atrybutów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dokumentu. 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Zabezpieczenie dokument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ów hasłem przed odczytem oraz przed wprowadzaniem modyfikacji, 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Wymagana  jest  dostępność  do  oferowanego  edytora  tekstu  bezpłatnych  narzędzi </w:t>
      </w: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umo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 xml:space="preserve">żliwiających  wykorzystanie  go, jako  środowiska  kreowania  aktów  normatywnych  i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prawnych, zgodnie z obowi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ązującym prawem. </w:t>
      </w:r>
    </w:p>
    <w:p w:rsidR="003F563E" w:rsidRPr="00FA0868" w:rsidRDefault="003F563E" w:rsidP="003F563E">
      <w:pPr>
        <w:widowControl w:val="0"/>
        <w:numPr>
          <w:ilvl w:val="1"/>
          <w:numId w:val="16"/>
        </w:numPr>
        <w:shd w:val="clear" w:color="auto" w:fill="FFFFFF"/>
        <w:tabs>
          <w:tab w:val="left" w:pos="691"/>
        </w:tabs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Wymagana  jest  dostępność  do  oferowanego  edytora  tekstu  bezpłatnych narzędzi umożliwiających podpisanie podpisem elektronicznym pliku z zapisanym dokumentem przy 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 xml:space="preserve">pomocy certyfikatu kwalifikowanego zgodnie z wymaganiami obowiązującego w Polsce prawa. </w:t>
      </w:r>
    </w:p>
    <w:p w:rsidR="003F563E" w:rsidRPr="00FA0868" w:rsidRDefault="003F563E" w:rsidP="003F563E">
      <w:pPr>
        <w:widowControl w:val="0"/>
        <w:shd w:val="clear" w:color="auto" w:fill="FFFFFF"/>
        <w:tabs>
          <w:tab w:val="left" w:pos="691"/>
        </w:tabs>
        <w:spacing w:after="0" w:line="410" w:lineRule="exact"/>
        <w:ind w:left="1080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</w:p>
    <w:p w:rsidR="003F563E" w:rsidRPr="00FA0868" w:rsidRDefault="003F563E" w:rsidP="003F563E">
      <w:pPr>
        <w:widowControl w:val="0"/>
        <w:numPr>
          <w:ilvl w:val="0"/>
          <w:numId w:val="16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lastRenderedPageBreak/>
        <w:t>Arkusz kalkulacyjny musi umożliwiać: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84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raport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tabelarycznych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84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wykres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liniowych (wraz linią trendu), słupkowych, kołowych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84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 arkuszy  kalkulacyjnych  zawieraj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ących  teksty,  dane  liczbowe  oraz  formuły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przeprowadzaj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ące operacje matematyczne, logiczne, tekstowe, statystyczne oraz operacje na danych finansowych i na miarach czasu.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raport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ów z zewnętrznych źródeł danych (inne arkusze kalkulacyjne, bazy danych zgodne z ODBC, pliki tekstowe, pliki XML, </w:t>
      </w:r>
      <w:proofErr w:type="spellStart"/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webservice</w:t>
      </w:r>
      <w:proofErr w:type="spellEnd"/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)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Obs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ługę kostek OLAP oraz tworzenie i edycję kwerend bazodanowych i webowych. Narzędzia 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 xml:space="preserve">wspomagające analizę statystyczną i finansową, analizę wariantową i rozwiązywanie problemów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optymalizacyjnych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raport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tabeli przestawnych umożliwiających dynamiczną zmianę wymiarów oraz wykresów bazujących na danych z tabeli przestawnych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Wyszukiwanie i zamian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danych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Wykonywanie analiz danych przy 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życiu formatowania warunkowego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Nazywanie kom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órek arkusza i odwoływanie się w formułach po takiej nazwie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Nagrywanie, tworzenie i 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makr automatyzujących wykonywanie czynności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Formatowanie czasu, daty i warto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ści finansowych z polskim formatem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Zapis wielu arkuszy kalkulacyjnych w jednym pliku.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Zachowanie pe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łnej zgodności z formatami plików utworzonych za pomocą oprogramowania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Microsoft Excel 2003 oraz Microsoft Excel 2007 i 2010, z uwzgl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ędnieniem poprawnej realizacji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żytych w nich funkcji specjalnych i makropoleceń.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Zabezpieczenie dokumentów hasłem przed odczytem oraz przed wprowadzaniem modyfikacji. 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Narzędzie do przygotowywania i prowadzenia prezentacji musi umożliwiać: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Przygotowywanie prezentacji multimedialnych, kt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óre będą: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Prezentowanie przy 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życiu projektora multimedialnego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Drukowanie w formacie umo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żliwiającym robienie notatek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Zapisanie jako prezentacja tylko do odczytu.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Nagrywanie narracji i do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łączanie jej do prezentacji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Opatrywanie slajd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notatkami dla prezentera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Umieszczanie i formatowanie tekst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ów, obiektów graficznych, tabel, nagrań dźwiękowych i wideo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Umieszczanie tabel i wykres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 pochodzących z arkusza kalkulacyjnego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lastRenderedPageBreak/>
        <w:t>Od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świeżenie wykresu znajdującego się w prezentacji po zmianie danych w źródłowym arkuszu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kalkulacyjnym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żliwość tworzenia animacji obiektów i całych slajdów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Prowadzenie prezentacji w trybie prezentera, gdzie slajdy są widoczne na jednym monitorze lub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projektorze, a na drugim widoczne s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ą slajdy i notatki prezentera 1. Pełna zgodność z formatami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plik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ów utworzonych za pomocą oprogramowania MS PowerPoint 2003, MS PowerPoint 2007 i 2010. 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i 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drukowanych materiałów informacyjnych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materia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łów przy użyciu dostępnych z narzędziem szablonów: broszur, biuletynów, katalogów, publikacji prasowych.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poszczególnych stron materiałów.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Podzia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ł treści na kolumny.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Umieszczanie element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ów graficznych.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Wykorzystanie mechanizmu korespondencji seryjnej.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84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P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łynne przesuwanie elementów po całej stronie publikacji.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84"/>
        </w:tabs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spacing w:val="-1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Eksport publikacji do formatu PDF oraz TIFF.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Wydruk publikacji.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żliwość przygotowywania materiałów do wydruku w standardzie CMYK. 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Narzędzie do zarządzania informacją prywatną (pocztą elektroniczną, kalendarzem, kontaktami i zadaniami) musi umożliwiać: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Pobieranie i wysy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łanie poczty elektronicznej z serwera pocztowego MS Exchange 2010/2013,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Przechowywanie wiadomo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ści na serwerze lub w lokalnym pliku tworzonym z zastosowaniem efektywnej kompresji danych,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Filtrowanie niechcianej poczty elektronicznej (SPAM) oraz okre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ślanie listy zablokowanych i bezpiecznych nadawców,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katalog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ów, pozwalających katalogować pocztę elektroniczną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Automatyczne grupowanie poczty o tym samym tytule,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regu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 przenoszących automatycznie nową pocztę elektroniczną do określonych katalogów bazując na słowach zawartych w tytule, adresie nadawcy i odbiorcy,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tabs>
          <w:tab w:val="left" w:pos="677"/>
        </w:tabs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Oflagowanie poczty elektronicznej  z okre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śleniem terminu przypomnienia,  oddzielnie dla nadawcy i adresatów,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Mechanizm ustalania liczby wiadomo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ści, które mają być synchronizowane lokalnie,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ądzanie kalendarzem,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lastRenderedPageBreak/>
        <w:t>Udost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ępnianie  kalendarza  innym  użytkownikom  z  możliwością  określania  uprawnień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żytkowników,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Przeglądanie kalendarza innych użytkowników,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Zapraszanie  uczestników  na  spotkanie,  co  po  ich  akceptacji  powoduje automatyczne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wprowadzenie spotkania w ich kalendarzach, </w:t>
      </w:r>
    </w:p>
    <w:p w:rsidR="00B3790E" w:rsidRPr="00FA0868" w:rsidRDefault="003F563E" w:rsidP="00B3790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Liberation Serif" w:eastAsia="WenQuanYi Zen Hei Sharp" w:hAnsi="Liberation Serif" w:cs="Lohit Devanagari"/>
          <w:sz w:val="24"/>
          <w:szCs w:val="24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Integracja kalendarza z oprogramowaniem do zarządzania projektami z uwzględnieniem harmonogramów zadań</w:t>
      </w:r>
      <w:r w:rsidR="00757BC8"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 (projektów),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Zarz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ądzanie listą zadań, </w:t>
      </w:r>
    </w:p>
    <w:p w:rsidR="00B3790E" w:rsidRPr="00FA0868" w:rsidRDefault="00B3790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Zarządzanie projektami na poziomie organizacji,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Zlecanie zadań innym użytkownikom,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Zarządzanie listą kontaktów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Udost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ępnianie listy kontaktów innym użytkownikom,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Przeglądanie listy kontaktów innych użytkowników,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Możliwość przesyłania kontaktów innym użytkowników. 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Narzędzie do tworzenia i pracy z lokalną bazą danych musi umożliwiać: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color w:val="000000"/>
          <w:lang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bazy danych przez zdefiniowanie:</w:t>
      </w:r>
    </w:p>
    <w:p w:rsidR="003F563E" w:rsidRPr="00FA0868" w:rsidRDefault="003F563E" w:rsidP="003F563E">
      <w:pPr>
        <w:widowControl w:val="0"/>
        <w:numPr>
          <w:ilvl w:val="2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Tabel sk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ładających się z unikatowego klucza i pól różnych typów, w tym tekstowych i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liczbowych.</w:t>
      </w:r>
    </w:p>
    <w:p w:rsidR="003F563E" w:rsidRPr="00FA0868" w:rsidRDefault="003F563E" w:rsidP="003F563E">
      <w:pPr>
        <w:widowControl w:val="0"/>
        <w:numPr>
          <w:ilvl w:val="2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Relacji pomi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ędzy tabelami </w:t>
      </w:r>
    </w:p>
    <w:p w:rsidR="003F563E" w:rsidRPr="00FA0868" w:rsidRDefault="003F563E" w:rsidP="003F563E">
      <w:pPr>
        <w:widowControl w:val="0"/>
        <w:numPr>
          <w:ilvl w:val="2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Formularzy do wprowadzania i edycji danych</w:t>
      </w:r>
    </w:p>
    <w:p w:rsidR="003F563E" w:rsidRPr="00FA0868" w:rsidRDefault="003F563E" w:rsidP="003F563E">
      <w:pPr>
        <w:widowControl w:val="0"/>
        <w:numPr>
          <w:ilvl w:val="2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Times New Roman" w:hAnsi="DejaVu LGC Serif" w:cs="Times New Roman"/>
          <w:color w:val="000000"/>
          <w:lang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Raportów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Edycj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 danych i zapisywanie ich w lokalnie przechowywanej bazie danych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Tworzenie bazy danych przy u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życiu zdefiniowanych szablonów</w:t>
      </w:r>
    </w:p>
    <w:p w:rsidR="003F563E" w:rsidRPr="00FA0868" w:rsidRDefault="003F563E" w:rsidP="00757BC8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łączenie z danymi zewnętrznymi, a w szczególności z innymi bazami danych zgodnymi z ODBC, plikami XML, arkuszem kalkulacyjnym.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spacing w:val="-2"/>
          <w:lang w:bidi="hi-IN"/>
        </w:rPr>
        <w:t xml:space="preserve">Narzędzie  komunikacji  wielokanałowej  stanowiące  interfejs  do  systemu  wiadomości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błyskawicznych (tekstowych), komunikacji głosowej, komunikacji video musi spełniać następujące wymagania: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Pe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łna polska wersja językowa interfejsu użytkownika.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Prostota i intuicyjno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ść obsługi, pozwalająca na pracę osobom nieposiadającym umiejętności technicznych.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żliwość zintegrowania uwierzytelniania użytkowników z usługą katalogową Active Directory - użytkownik raz zalogowany z poziomu systemu operacyjnego stacji roboczej ma być automatycznie rozpoznawany we wszystkich modułach oferowanego rozwiązania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lastRenderedPageBreak/>
        <w:t xml:space="preserve">bez potrzeby oddzielnego monitowania go o ponowne uwierzytelnienie się. 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żliwość obsługi tekstowych wiadomości błyskawicznych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żliwość komunikacji głosowej i video.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spacing w:val="-1"/>
          <w:lang w:bidi="hi-IN"/>
        </w:rPr>
        <w:t>Sygnalizowanie statusu dost</w:t>
      </w:r>
      <w:r w:rsidRPr="00FA0868">
        <w:rPr>
          <w:rFonts w:ascii="DejaVu LGC Serif" w:eastAsia="Times New Roman" w:hAnsi="DejaVu LGC Serif" w:cs="Times New Roman"/>
          <w:color w:val="000000"/>
          <w:spacing w:val="-1"/>
          <w:lang w:bidi="hi-IN"/>
        </w:rPr>
        <w:t>ępności innych użytkowników serwera komunikacji wielokanałowej.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żliwość definiowania listy kontaktów lub dołączania jej z listy zawartej w usłudze katalogowej.</w:t>
      </w:r>
    </w:p>
    <w:p w:rsidR="003F563E" w:rsidRPr="00FA0868" w:rsidRDefault="003F563E" w:rsidP="003F563E">
      <w:pPr>
        <w:widowControl w:val="0"/>
        <w:numPr>
          <w:ilvl w:val="1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Mo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żliwość wyświetlania szczegółowej informacji opisującej innych użytkowników oraz ich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dost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ępność, pobieranej z usługi katalogowej i systemu kalendarzy serwera poczty elektronicznej.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 xml:space="preserve">Z uwagi na to, 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że art. 30 ust. 5 ustawy Prawo zamówień publicznych wyraźnie wskazuje na Wykonawcę, jako tego, kto jest zobowiązany wykazać, że oferowane rozwiązania i produkty spełniają wymagania postawione przez Zamawiającego, Zamawiający zastrzega sobie, w przypadku jakichkolwiek wątpliwości, prawo sprawdzenie pełnej zgodności oferowanych </w:t>
      </w:r>
      <w:r w:rsidRPr="00FA0868">
        <w:rPr>
          <w:rFonts w:ascii="DejaVu LGC Serif" w:eastAsia="WenQuanYi Zen Hei Sharp" w:hAnsi="DejaVu LGC Serif" w:cs="Lohit Devanagari"/>
          <w:color w:val="000000"/>
          <w:lang w:bidi="hi-IN"/>
        </w:rPr>
        <w:t>produkt</w:t>
      </w: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 xml:space="preserve">ów z wymogami specyfikacji. Sprawdzenie to, będzie polegać na wielokrotnym przeprowadzeniu testów w warunkach produkcyjnych na sprzęcie Zamawiającego, z użyciem urządzeń peryferyjnych Zamawiającego, na arkuszach, bazach danych i plikach Zamawiającego. W tym celu Wykonawca na każde wezwanie Zamawiającego dostarczy do siedziby Zamawiającego w terminie do 5 dni od daty otrzymania wezwania, po jednym egzemplarzu wskazanego przedmiotu dostawy. Mogą zostać dostarczone licencje tymczasowe, w pełni zgodne z oferowanymi. Jednocześnie Zamawiający zastrzega sobie możliwość odwołania się do oficjalnych, publicznie dostępnych stron internetowych producenta weryfikowanego przedmiotu zamówienia. Negatywny wynik tego sprawdzenia skutkować będzie odrzuceniem oferty, na podstawie art. 89 ust. 1 pkt. 2 ustawy. Nie przedłożenie oferowanych produktów do przetestowania w ww. terminie zostanie potraktowane, jako negatywny wynik sprawdzenia. </w:t>
      </w:r>
    </w:p>
    <w:p w:rsidR="003F563E" w:rsidRPr="00FA0868" w:rsidRDefault="003F563E" w:rsidP="003F563E">
      <w:pPr>
        <w:widowControl w:val="0"/>
        <w:numPr>
          <w:ilvl w:val="0"/>
          <w:numId w:val="17"/>
        </w:numPr>
        <w:shd w:val="clear" w:color="auto" w:fill="FFFFFF"/>
        <w:spacing w:after="0" w:line="410" w:lineRule="exact"/>
        <w:jc w:val="both"/>
        <w:rPr>
          <w:rFonts w:ascii="DejaVu LGC Serif" w:eastAsia="WenQuanYi Zen Hei Sharp" w:hAnsi="DejaVu LGC Serif" w:cs="Lohit Devanagari"/>
          <w:lang w:eastAsia="zh-CN" w:bidi="hi-IN"/>
        </w:rPr>
      </w:pPr>
      <w:r w:rsidRPr="00FA0868">
        <w:rPr>
          <w:rFonts w:ascii="DejaVu LGC Serif" w:eastAsia="Times New Roman" w:hAnsi="DejaVu LGC Serif" w:cs="Times New Roman"/>
          <w:color w:val="000000"/>
          <w:lang w:bidi="hi-IN"/>
        </w:rPr>
        <w:t>Termin realizacji zamówienia: do 20 dni od dnia podpisania umowy.</w:t>
      </w:r>
    </w:p>
    <w:p w:rsidR="0014669F" w:rsidRDefault="0014669F">
      <w:pPr>
        <w:jc w:val="both"/>
        <w:rPr>
          <w:rFonts w:ascii="Calibri" w:eastAsia="Calibri" w:hAnsi="Calibri" w:cs="Calibri"/>
          <w:b/>
          <w:sz w:val="24"/>
        </w:rPr>
      </w:pPr>
    </w:p>
    <w:p w:rsidR="0014669F" w:rsidRPr="00525D3F" w:rsidRDefault="0014669F" w:rsidP="00525D3F">
      <w:pPr>
        <w:tabs>
          <w:tab w:val="left" w:pos="1170"/>
        </w:tabs>
      </w:pPr>
    </w:p>
    <w:sectPr w:rsidR="0014669F" w:rsidRPr="00525D3F" w:rsidSect="0081204A">
      <w:headerReference w:type="default" r:id="rId9"/>
      <w:pgSz w:w="11906" w:h="16838"/>
      <w:pgMar w:top="1276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3D" w:rsidRDefault="00FF603D" w:rsidP="0081204A">
      <w:pPr>
        <w:spacing w:after="0" w:line="240" w:lineRule="auto"/>
      </w:pPr>
      <w:r>
        <w:separator/>
      </w:r>
    </w:p>
  </w:endnote>
  <w:endnote w:type="continuationSeparator" w:id="0">
    <w:p w:rsidR="00FF603D" w:rsidRDefault="00FF603D" w:rsidP="008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LGC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3D" w:rsidRDefault="00FF603D" w:rsidP="0081204A">
      <w:pPr>
        <w:spacing w:after="0" w:line="240" w:lineRule="auto"/>
      </w:pPr>
      <w:r>
        <w:separator/>
      </w:r>
    </w:p>
  </w:footnote>
  <w:footnote w:type="continuationSeparator" w:id="0">
    <w:p w:rsidR="00FF603D" w:rsidRDefault="00FF603D" w:rsidP="0081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A" w:rsidRDefault="0081204A">
    <w:pPr>
      <w:pStyle w:val="Nagwek"/>
    </w:pPr>
    <w:r>
      <w:rPr>
        <w:noProof/>
      </w:rPr>
      <w:drawing>
        <wp:inline distT="0" distB="0" distL="0" distR="0" wp14:anchorId="7CC62EAE" wp14:editId="59F9D194">
          <wp:extent cx="5760720" cy="4089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1BB"/>
    <w:multiLevelType w:val="hybridMultilevel"/>
    <w:tmpl w:val="F702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30F0"/>
    <w:multiLevelType w:val="multilevel"/>
    <w:tmpl w:val="5420C3B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360"/>
      </w:p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360"/>
      </w:p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360"/>
      </w:p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360"/>
      </w:p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360"/>
      </w:pPr>
    </w:lvl>
  </w:abstractNum>
  <w:abstractNum w:abstractNumId="2">
    <w:nsid w:val="15CF6A99"/>
    <w:multiLevelType w:val="multilevel"/>
    <w:tmpl w:val="6912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5D258AE"/>
    <w:multiLevelType w:val="multilevel"/>
    <w:tmpl w:val="B298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490BAA"/>
    <w:multiLevelType w:val="hybridMultilevel"/>
    <w:tmpl w:val="85A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4080"/>
    <w:multiLevelType w:val="multilevel"/>
    <w:tmpl w:val="52A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2040BC1"/>
    <w:multiLevelType w:val="multilevel"/>
    <w:tmpl w:val="464418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24E0ABD"/>
    <w:multiLevelType w:val="hybridMultilevel"/>
    <w:tmpl w:val="BDDA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40EED"/>
    <w:multiLevelType w:val="hybridMultilevel"/>
    <w:tmpl w:val="A454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3A70"/>
    <w:multiLevelType w:val="hybridMultilevel"/>
    <w:tmpl w:val="A454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E71C1"/>
    <w:multiLevelType w:val="multilevel"/>
    <w:tmpl w:val="7E5AE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45B86806"/>
    <w:multiLevelType w:val="multilevel"/>
    <w:tmpl w:val="F0B84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4C260280"/>
    <w:multiLevelType w:val="multilevel"/>
    <w:tmpl w:val="3F1C9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F2F109A"/>
    <w:multiLevelType w:val="multilevel"/>
    <w:tmpl w:val="39EA3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nsid w:val="53CF7F80"/>
    <w:multiLevelType w:val="multilevel"/>
    <w:tmpl w:val="3502D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60FC606B"/>
    <w:multiLevelType w:val="multilevel"/>
    <w:tmpl w:val="8826BD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51736EF"/>
    <w:multiLevelType w:val="multilevel"/>
    <w:tmpl w:val="548E4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9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9F"/>
    <w:rsid w:val="00054FD3"/>
    <w:rsid w:val="0014669F"/>
    <w:rsid w:val="001B6CC4"/>
    <w:rsid w:val="003F563E"/>
    <w:rsid w:val="00525D3F"/>
    <w:rsid w:val="00757BC8"/>
    <w:rsid w:val="0081204A"/>
    <w:rsid w:val="00835809"/>
    <w:rsid w:val="0092688E"/>
    <w:rsid w:val="009C17C1"/>
    <w:rsid w:val="00A7187B"/>
    <w:rsid w:val="00AB6C5C"/>
    <w:rsid w:val="00B3790E"/>
    <w:rsid w:val="00D31F37"/>
    <w:rsid w:val="00D63A6C"/>
    <w:rsid w:val="00F90982"/>
    <w:rsid w:val="00FA0868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b/>
      <w:sz w:val="24"/>
    </w:rPr>
  </w:style>
  <w:style w:type="character" w:customStyle="1" w:styleId="ListLabel2">
    <w:name w:val="ListLabel 2"/>
    <w:qFormat/>
    <w:rPr>
      <w:rFonts w:ascii="Calibri" w:hAnsi="Calibri" w:cs="Symbol"/>
      <w:b/>
      <w:sz w:val="24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b/>
      <w:sz w:val="24"/>
    </w:rPr>
  </w:style>
  <w:style w:type="character" w:customStyle="1" w:styleId="ListLabel5">
    <w:name w:val="ListLabel 5"/>
    <w:qFormat/>
    <w:rPr>
      <w:rFonts w:ascii="Calibri" w:hAnsi="Calibri" w:cs="Symbol"/>
      <w:b/>
      <w:sz w:val="24"/>
    </w:rPr>
  </w:style>
  <w:style w:type="character" w:customStyle="1" w:styleId="ListLabel6">
    <w:name w:val="ListLabel 6"/>
    <w:qFormat/>
    <w:rPr>
      <w:rFonts w:ascii="Calibri" w:hAnsi="Calibri" w:cs="Symbol"/>
      <w:b/>
      <w:sz w:val="24"/>
    </w:rPr>
  </w:style>
  <w:style w:type="character" w:customStyle="1" w:styleId="ListLabel7">
    <w:name w:val="ListLabel 7"/>
    <w:qFormat/>
    <w:rPr>
      <w:rFonts w:ascii="Calibri" w:hAnsi="Calibri" w:cs="Symbol"/>
      <w:b/>
      <w:sz w:val="24"/>
    </w:rPr>
  </w:style>
  <w:style w:type="character" w:customStyle="1" w:styleId="ListLabel8">
    <w:name w:val="ListLabel 8"/>
    <w:qFormat/>
    <w:rPr>
      <w:rFonts w:ascii="Calibri" w:hAnsi="Calibri" w:cs="Symbol"/>
      <w:b/>
      <w:sz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Pr>
      <w:rFonts w:ascii="Calibri" w:hAnsi="Calibri" w:cs="Symbol"/>
      <w:b/>
      <w:sz w:val="24"/>
    </w:rPr>
  </w:style>
  <w:style w:type="character" w:customStyle="1" w:styleId="ListLabel12">
    <w:name w:val="ListLabel 12"/>
    <w:qFormat/>
    <w:rPr>
      <w:rFonts w:ascii="Calibri" w:hAnsi="Calibri" w:cs="Symbol"/>
      <w:b/>
      <w:sz w:val="24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ascii="Calibri" w:hAnsi="Calibri" w:cs="Symbol"/>
      <w:b/>
      <w:sz w:val="24"/>
    </w:rPr>
  </w:style>
  <w:style w:type="character" w:customStyle="1" w:styleId="ListLabel15">
    <w:name w:val="ListLabel 15"/>
    <w:qFormat/>
    <w:rPr>
      <w:rFonts w:ascii="Calibri" w:hAnsi="Calibri" w:cs="Symbol"/>
      <w:b/>
      <w:sz w:val="24"/>
    </w:rPr>
  </w:style>
  <w:style w:type="character" w:customStyle="1" w:styleId="ListLabel16">
    <w:name w:val="ListLabel 16"/>
    <w:qFormat/>
    <w:rPr>
      <w:rFonts w:ascii="Calibri" w:hAnsi="Calibri" w:cs="Symbol"/>
      <w:b/>
      <w:sz w:val="24"/>
    </w:rPr>
  </w:style>
  <w:style w:type="character" w:customStyle="1" w:styleId="ListLabel17">
    <w:name w:val="ListLabel 17"/>
    <w:qFormat/>
    <w:rPr>
      <w:rFonts w:ascii="Calibri" w:hAnsi="Calibri" w:cs="Symbol"/>
      <w:b/>
      <w:sz w:val="24"/>
    </w:rPr>
  </w:style>
  <w:style w:type="character" w:customStyle="1" w:styleId="ListLabel18">
    <w:name w:val="ListLabel 18"/>
    <w:qFormat/>
    <w:rPr>
      <w:rFonts w:ascii="Calibri" w:hAnsi="Calibri" w:cs="Symbol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8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4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4A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8120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4A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4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b/>
      <w:sz w:val="24"/>
    </w:rPr>
  </w:style>
  <w:style w:type="character" w:customStyle="1" w:styleId="ListLabel2">
    <w:name w:val="ListLabel 2"/>
    <w:qFormat/>
    <w:rPr>
      <w:rFonts w:ascii="Calibri" w:hAnsi="Calibri" w:cs="Symbol"/>
      <w:b/>
      <w:sz w:val="24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b/>
      <w:sz w:val="24"/>
    </w:rPr>
  </w:style>
  <w:style w:type="character" w:customStyle="1" w:styleId="ListLabel5">
    <w:name w:val="ListLabel 5"/>
    <w:qFormat/>
    <w:rPr>
      <w:rFonts w:ascii="Calibri" w:hAnsi="Calibri" w:cs="Symbol"/>
      <w:b/>
      <w:sz w:val="24"/>
    </w:rPr>
  </w:style>
  <w:style w:type="character" w:customStyle="1" w:styleId="ListLabel6">
    <w:name w:val="ListLabel 6"/>
    <w:qFormat/>
    <w:rPr>
      <w:rFonts w:ascii="Calibri" w:hAnsi="Calibri" w:cs="Symbol"/>
      <w:b/>
      <w:sz w:val="24"/>
    </w:rPr>
  </w:style>
  <w:style w:type="character" w:customStyle="1" w:styleId="ListLabel7">
    <w:name w:val="ListLabel 7"/>
    <w:qFormat/>
    <w:rPr>
      <w:rFonts w:ascii="Calibri" w:hAnsi="Calibri" w:cs="Symbol"/>
      <w:b/>
      <w:sz w:val="24"/>
    </w:rPr>
  </w:style>
  <w:style w:type="character" w:customStyle="1" w:styleId="ListLabel8">
    <w:name w:val="ListLabel 8"/>
    <w:qFormat/>
    <w:rPr>
      <w:rFonts w:ascii="Calibri" w:hAnsi="Calibri" w:cs="Symbol"/>
      <w:b/>
      <w:sz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Pr>
      <w:rFonts w:ascii="Calibri" w:hAnsi="Calibri" w:cs="Symbol"/>
      <w:b/>
      <w:sz w:val="24"/>
    </w:rPr>
  </w:style>
  <w:style w:type="character" w:customStyle="1" w:styleId="ListLabel12">
    <w:name w:val="ListLabel 12"/>
    <w:qFormat/>
    <w:rPr>
      <w:rFonts w:ascii="Calibri" w:hAnsi="Calibri" w:cs="Symbol"/>
      <w:b/>
      <w:sz w:val="24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ascii="Calibri" w:hAnsi="Calibri" w:cs="Symbol"/>
      <w:b/>
      <w:sz w:val="24"/>
    </w:rPr>
  </w:style>
  <w:style w:type="character" w:customStyle="1" w:styleId="ListLabel15">
    <w:name w:val="ListLabel 15"/>
    <w:qFormat/>
    <w:rPr>
      <w:rFonts w:ascii="Calibri" w:hAnsi="Calibri" w:cs="Symbol"/>
      <w:b/>
      <w:sz w:val="24"/>
    </w:rPr>
  </w:style>
  <w:style w:type="character" w:customStyle="1" w:styleId="ListLabel16">
    <w:name w:val="ListLabel 16"/>
    <w:qFormat/>
    <w:rPr>
      <w:rFonts w:ascii="Calibri" w:hAnsi="Calibri" w:cs="Symbol"/>
      <w:b/>
      <w:sz w:val="24"/>
    </w:rPr>
  </w:style>
  <w:style w:type="character" w:customStyle="1" w:styleId="ListLabel17">
    <w:name w:val="ListLabel 17"/>
    <w:qFormat/>
    <w:rPr>
      <w:rFonts w:ascii="Calibri" w:hAnsi="Calibri" w:cs="Symbol"/>
      <w:b/>
      <w:sz w:val="24"/>
    </w:rPr>
  </w:style>
  <w:style w:type="character" w:customStyle="1" w:styleId="ListLabel18">
    <w:name w:val="ListLabel 18"/>
    <w:qFormat/>
    <w:rPr>
      <w:rFonts w:ascii="Calibri" w:hAnsi="Calibri" w:cs="Symbol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8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4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4A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8120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4A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4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desktop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Jarosław Stepiński</cp:lastModifiedBy>
  <cp:revision>12</cp:revision>
  <cp:lastPrinted>2018-04-13T09:25:00Z</cp:lastPrinted>
  <dcterms:created xsi:type="dcterms:W3CDTF">2018-06-06T09:04:00Z</dcterms:created>
  <dcterms:modified xsi:type="dcterms:W3CDTF">2018-07-17T09:35:00Z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