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D5" w:rsidRPr="00BE00D5" w:rsidRDefault="00A96D0E" w:rsidP="00BE00D5">
      <w:pPr>
        <w:pStyle w:val="Tekstprzypisudolnego"/>
        <w:spacing w:before="24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Postępowanie nr : DAG</w:t>
      </w:r>
      <w:r w:rsidR="00BE00D5" w:rsidRPr="00BE00D5">
        <w:rPr>
          <w:sz w:val="24"/>
          <w:szCs w:val="24"/>
          <w:lang w:eastAsia="ar-SA"/>
        </w:rPr>
        <w:t>/PN/</w:t>
      </w:r>
      <w:r>
        <w:rPr>
          <w:sz w:val="24"/>
          <w:szCs w:val="24"/>
          <w:lang w:eastAsia="ar-SA"/>
        </w:rPr>
        <w:t>5/</w:t>
      </w:r>
      <w:r w:rsidR="00BE00D5" w:rsidRPr="00BE00D5">
        <w:rPr>
          <w:sz w:val="24"/>
          <w:szCs w:val="24"/>
          <w:lang w:eastAsia="ar-SA"/>
        </w:rPr>
        <w:t>2018</w:t>
      </w:r>
    </w:p>
    <w:p w:rsidR="002A1E97" w:rsidRPr="002A1E97" w:rsidRDefault="002A1E97" w:rsidP="002A1E97">
      <w:pPr>
        <w:shd w:val="clear" w:color="auto" w:fill="FFFFFF"/>
        <w:spacing w:line="252" w:lineRule="exact"/>
        <w:jc w:val="right"/>
        <w:rPr>
          <w:b/>
          <w:color w:val="000000"/>
          <w:sz w:val="21"/>
          <w:szCs w:val="21"/>
        </w:rPr>
      </w:pPr>
      <w:r w:rsidRPr="002A1E97">
        <w:rPr>
          <w:b/>
          <w:color w:val="000000"/>
          <w:sz w:val="21"/>
          <w:szCs w:val="21"/>
        </w:rPr>
        <w:t>Załącznik nr 1 do SIWZ</w:t>
      </w:r>
    </w:p>
    <w:p w:rsidR="002A1E97" w:rsidRDefault="002A1E97" w:rsidP="002A1E97">
      <w:pPr>
        <w:shd w:val="clear" w:color="auto" w:fill="FFFFFF"/>
        <w:spacing w:line="252" w:lineRule="exact"/>
        <w:jc w:val="both"/>
        <w:rPr>
          <w:b/>
          <w:color w:val="000000"/>
          <w:sz w:val="21"/>
          <w:szCs w:val="21"/>
          <w:highlight w:val="green"/>
        </w:rPr>
      </w:pPr>
    </w:p>
    <w:p w:rsidR="002A1E97" w:rsidRDefault="002A1E97" w:rsidP="002A1E97">
      <w:pPr>
        <w:shd w:val="clear" w:color="auto" w:fill="FFFFFF"/>
        <w:spacing w:line="252" w:lineRule="exact"/>
        <w:jc w:val="both"/>
        <w:rPr>
          <w:b/>
          <w:color w:val="000000"/>
          <w:sz w:val="21"/>
          <w:szCs w:val="21"/>
          <w:highlight w:val="green"/>
        </w:rPr>
      </w:pPr>
    </w:p>
    <w:p w:rsidR="002A1E97" w:rsidRPr="002A1E97" w:rsidRDefault="002A1E97" w:rsidP="002A1E97">
      <w:pPr>
        <w:shd w:val="clear" w:color="auto" w:fill="FFFFFF"/>
        <w:spacing w:line="252" w:lineRule="exact"/>
        <w:jc w:val="both"/>
        <w:rPr>
          <w:b/>
          <w:color w:val="000000"/>
          <w:sz w:val="21"/>
          <w:szCs w:val="21"/>
        </w:rPr>
      </w:pPr>
    </w:p>
    <w:p w:rsidR="002A1E97" w:rsidRDefault="002A1E97" w:rsidP="002A1E97">
      <w:pPr>
        <w:shd w:val="clear" w:color="auto" w:fill="FFFFFF"/>
        <w:spacing w:line="252" w:lineRule="exact"/>
        <w:jc w:val="both"/>
        <w:rPr>
          <w:b/>
          <w:color w:val="000000"/>
          <w:sz w:val="21"/>
          <w:szCs w:val="21"/>
        </w:rPr>
      </w:pPr>
      <w:r w:rsidRPr="002A1E97">
        <w:rPr>
          <w:b/>
          <w:color w:val="000000"/>
          <w:sz w:val="21"/>
          <w:szCs w:val="21"/>
        </w:rPr>
        <w:t>SZCZEGÓŁOWY OPIS PRZEDMIOTU ZAMÓWIENIA</w:t>
      </w:r>
      <w:r>
        <w:rPr>
          <w:b/>
          <w:color w:val="000000"/>
          <w:sz w:val="21"/>
          <w:szCs w:val="21"/>
        </w:rPr>
        <w:t>.</w:t>
      </w:r>
      <w:r w:rsidRPr="002A1E97">
        <w:rPr>
          <w:b/>
          <w:color w:val="000000"/>
          <w:sz w:val="21"/>
          <w:szCs w:val="21"/>
        </w:rPr>
        <w:t xml:space="preserve"> </w:t>
      </w:r>
    </w:p>
    <w:p w:rsidR="002A1E97" w:rsidRDefault="002A1E97" w:rsidP="002A1E97">
      <w:pPr>
        <w:shd w:val="clear" w:color="auto" w:fill="FFFFFF"/>
        <w:spacing w:line="252" w:lineRule="exact"/>
        <w:jc w:val="both"/>
        <w:rPr>
          <w:b/>
          <w:color w:val="000000"/>
          <w:sz w:val="21"/>
          <w:szCs w:val="21"/>
        </w:rPr>
      </w:pPr>
    </w:p>
    <w:p w:rsidR="002A1E97" w:rsidRDefault="002A1E97" w:rsidP="002A1E97">
      <w:pPr>
        <w:shd w:val="clear" w:color="auto" w:fill="FFFFFF"/>
        <w:spacing w:line="252" w:lineRule="exact"/>
        <w:jc w:val="both"/>
        <w:rPr>
          <w:b/>
          <w:color w:val="000000"/>
          <w:sz w:val="21"/>
          <w:szCs w:val="21"/>
        </w:rPr>
      </w:pPr>
    </w:p>
    <w:p w:rsidR="00E32547" w:rsidRDefault="00E32547" w:rsidP="00E32547">
      <w:pPr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Laboratorium baz dan</w:t>
      </w:r>
      <w:r w:rsidR="00BE00D5">
        <w:rPr>
          <w:rFonts w:eastAsia="Calibri" w:cs="Calibri"/>
          <w:b/>
          <w:sz w:val="28"/>
        </w:rPr>
        <w:t xml:space="preserve">ych i systemów operacyjnych </w:t>
      </w:r>
    </w:p>
    <w:p w:rsidR="00E32547" w:rsidRPr="00BE00D5" w:rsidRDefault="00BE00D5" w:rsidP="00BE00D5">
      <w:pPr>
        <w:pStyle w:val="Akapitzlist"/>
        <w:numPr>
          <w:ilvl w:val="0"/>
          <w:numId w:val="9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Zestaw komputerowy - 17</w:t>
      </w:r>
      <w:r w:rsidR="00E32547" w:rsidRPr="00BE00D5">
        <w:rPr>
          <w:rFonts w:eastAsia="Calibri" w:cs="Calibri"/>
          <w:b/>
          <w:sz w:val="24"/>
        </w:rPr>
        <w:t xml:space="preserve"> sztuk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7726"/>
      </w:tblGrid>
      <w:tr w:rsidR="00E32547" w:rsidTr="00941780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1F1FEF" w:rsidRDefault="00E32547" w:rsidP="00941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1FEF">
              <w:rPr>
                <w:rFonts w:eastAsia="Calibri" w:cs="Calibri"/>
                <w:b/>
                <w:color w:val="000000"/>
                <w:sz w:val="22"/>
                <w:szCs w:val="22"/>
              </w:rPr>
              <w:t>Płyta główna</w:t>
            </w:r>
            <w:r w:rsidRPr="001F1FEF">
              <w:rPr>
                <w:rFonts w:eastAsia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2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umożliwiająca podłączenie i pracę wszystkich wymienionych podzespołów, jeden slot na procesor, Wyposażona co najmniej w złącza:</w:t>
            </w:r>
          </w:p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 xml:space="preserve">- 1 pełnowymiarowe gniazdo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PCIe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 xml:space="preserve"> x16 Gen3</w:t>
            </w:r>
          </w:p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 xml:space="preserve">- 1 pełnowymiarowe gniazdo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PCIe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 xml:space="preserve"> x16 Gen3 (przewody x4)</w:t>
            </w:r>
          </w:p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 xml:space="preserve">- 1 gniazdo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PCIe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 xml:space="preserve"> x4 Gen 3 o pełnej wysokości</w:t>
            </w:r>
          </w:p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- 1 pełnowymiarowe gniazdo PCI</w:t>
            </w:r>
          </w:p>
        </w:tc>
      </w:tr>
      <w:tr w:rsidR="00E32547" w:rsidTr="00941780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1F1FEF" w:rsidRDefault="00E32547" w:rsidP="00941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1FEF">
              <w:rPr>
                <w:rFonts w:eastAsia="Calibri" w:cs="Calibri"/>
                <w:b/>
                <w:color w:val="000000"/>
                <w:sz w:val="22"/>
                <w:szCs w:val="22"/>
              </w:rPr>
              <w:t>Procesor: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 xml:space="preserve">obsługa instrukcji 64-bitowych, wsparcie dla technologii wirtualizacji VT-x/EPT, VT-d lub AMD-V/RVI i AMD-Vi, obsługa instrukcji EPT lub RVI, czterordzeniowy, ośmiowątkowy klasy x86, osiągający wynik dla jednego procesora: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Passmark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 xml:space="preserve"> CPU Mark &gt; 10700 (wg </w:t>
            </w:r>
            <w:hyperlink r:id="rId8">
              <w:r w:rsidRPr="001F1FEF">
                <w:rPr>
                  <w:rStyle w:val="czeinternetowe"/>
                  <w:color w:val="000000"/>
                  <w:sz w:val="22"/>
                  <w:szCs w:val="22"/>
                </w:rPr>
                <w:t>www.cpubenchmark.net/desktop.html</w:t>
              </w:r>
            </w:hyperlink>
            <w:r w:rsidRPr="001F1FEF">
              <w:rPr>
                <w:color w:val="000000"/>
                <w:sz w:val="22"/>
                <w:szCs w:val="22"/>
              </w:rPr>
              <w:t xml:space="preserve"> odczyt z dnia 13.03.2018.)</w:t>
            </w:r>
          </w:p>
        </w:tc>
      </w:tr>
      <w:tr w:rsidR="00E32547" w:rsidTr="00941780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1F1FEF" w:rsidRDefault="00E32547" w:rsidP="00941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1FEF">
              <w:rPr>
                <w:rFonts w:eastAsia="Calibri" w:cs="Calibri"/>
                <w:b/>
                <w:color w:val="000000"/>
                <w:sz w:val="22"/>
                <w:szCs w:val="22"/>
              </w:rPr>
              <w:t>Pamięć RAM: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Min: 16GB DDR4 z możliwością rozbudowy do 64GB</w:t>
            </w:r>
          </w:p>
        </w:tc>
      </w:tr>
      <w:tr w:rsidR="00E32547" w:rsidTr="00941780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1F1FEF" w:rsidRDefault="00E32547" w:rsidP="00941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1FEF">
              <w:rPr>
                <w:rFonts w:eastAsia="Calibri" w:cs="Calibri"/>
                <w:b/>
                <w:color w:val="000000"/>
                <w:sz w:val="22"/>
                <w:szCs w:val="22"/>
              </w:rPr>
              <w:t>Dyski twarde: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Min:1TB SATA II</w:t>
            </w:r>
          </w:p>
        </w:tc>
      </w:tr>
      <w:tr w:rsidR="00E32547" w:rsidTr="00941780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1F1FEF" w:rsidRDefault="00E32547" w:rsidP="00941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1FEF">
              <w:rPr>
                <w:rFonts w:eastAsia="Calibri" w:cs="Calibri"/>
                <w:b/>
                <w:color w:val="000000"/>
                <w:sz w:val="22"/>
                <w:szCs w:val="22"/>
              </w:rPr>
              <w:t>Karta graficzna: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 xml:space="preserve">zintegrowana z płytą główną, zgodna ze standardem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OpenGL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 xml:space="preserve"> 4.4 oraz DIRECTX 12, posiadająca dwa złącza o rozdzielczościach min 1920x1080 pikseli</w:t>
            </w:r>
          </w:p>
        </w:tc>
      </w:tr>
      <w:tr w:rsidR="00E32547" w:rsidTr="00941780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1F1FEF" w:rsidRDefault="00E32547" w:rsidP="00941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1FEF">
              <w:rPr>
                <w:rFonts w:eastAsia="Calibri" w:cs="Calibri"/>
                <w:b/>
                <w:color w:val="000000"/>
                <w:sz w:val="22"/>
                <w:szCs w:val="22"/>
              </w:rPr>
              <w:t>Porty: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Karta muzyczna Zintegrowana z płytą główną, zgodna z High Definition (HD) Audio, karta sieciowa zintegrowana z płytą główną</w:t>
            </w:r>
            <w:r w:rsidRPr="001F1FEF">
              <w:rPr>
                <w:color w:val="000000"/>
                <w:sz w:val="22"/>
                <w:szCs w:val="22"/>
              </w:rPr>
              <w:br/>
              <w:t>Porty:</w:t>
            </w:r>
            <w:r w:rsidRPr="001F1FEF">
              <w:rPr>
                <w:color w:val="000000"/>
                <w:sz w:val="22"/>
                <w:szCs w:val="22"/>
              </w:rPr>
              <w:br/>
              <w:t>6 portów USB 2.0 (2 z przodu, 2 wewnętrzne, 2 z tyłu)</w:t>
            </w:r>
            <w:r w:rsidRPr="001F1FEF">
              <w:rPr>
                <w:color w:val="000000"/>
                <w:sz w:val="22"/>
                <w:szCs w:val="22"/>
              </w:rPr>
              <w:br/>
              <w:t>6 portów USB 3.0 (2 z przodu, 4 z tyłu)</w:t>
            </w:r>
            <w:r w:rsidRPr="001F1FEF">
              <w:rPr>
                <w:color w:val="000000"/>
                <w:sz w:val="22"/>
                <w:szCs w:val="22"/>
              </w:rPr>
              <w:br/>
              <w:t>1 wejście mikrofonowe</w:t>
            </w:r>
            <w:r w:rsidRPr="001F1FEF">
              <w:rPr>
                <w:color w:val="000000"/>
                <w:sz w:val="22"/>
                <w:szCs w:val="22"/>
              </w:rPr>
              <w:br/>
              <w:t>1 gniazdo słuchawkowe</w:t>
            </w:r>
            <w:r w:rsidRPr="001F1FEF">
              <w:rPr>
                <w:color w:val="000000"/>
                <w:sz w:val="22"/>
                <w:szCs w:val="22"/>
              </w:rPr>
              <w:br/>
              <w:t xml:space="preserve">3 porty SATA 6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>/s</w:t>
            </w:r>
            <w:r w:rsidRPr="001F1FEF">
              <w:rPr>
                <w:color w:val="000000"/>
                <w:sz w:val="22"/>
                <w:szCs w:val="22"/>
              </w:rPr>
              <w:br/>
            </w:r>
            <w:r w:rsidRPr="001F1FEF">
              <w:rPr>
                <w:b/>
                <w:bCs/>
                <w:color w:val="000000"/>
                <w:sz w:val="22"/>
                <w:szCs w:val="22"/>
              </w:rPr>
              <w:t>Tył</w:t>
            </w:r>
            <w:r w:rsidRPr="001F1FE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1F1FEF">
              <w:rPr>
                <w:color w:val="000000"/>
                <w:sz w:val="22"/>
                <w:szCs w:val="22"/>
              </w:rPr>
              <w:t>2 porty PS2</w:t>
            </w:r>
            <w:r w:rsidRPr="001F1FEF">
              <w:rPr>
                <w:color w:val="000000"/>
                <w:sz w:val="22"/>
                <w:szCs w:val="22"/>
              </w:rPr>
              <w:br/>
              <w:t xml:space="preserve">2 porty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DisplayPort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br/>
              <w:t>1 port HDMI</w:t>
            </w:r>
            <w:r w:rsidRPr="001F1FEF">
              <w:rPr>
                <w:color w:val="000000"/>
                <w:sz w:val="22"/>
                <w:szCs w:val="22"/>
              </w:rPr>
              <w:br/>
              <w:t>1 złącze sieciowe RJ45/ 1GB Ethernet</w:t>
            </w:r>
            <w:r w:rsidRPr="001F1FEF">
              <w:rPr>
                <w:color w:val="000000"/>
                <w:sz w:val="22"/>
                <w:szCs w:val="22"/>
              </w:rPr>
              <w:br/>
              <w:t>1 port szeregowy RS232/DB9</w:t>
            </w:r>
            <w:r w:rsidRPr="001F1FEF">
              <w:rPr>
                <w:color w:val="000000"/>
                <w:sz w:val="22"/>
                <w:szCs w:val="22"/>
              </w:rPr>
              <w:br/>
              <w:t>1 liniowe wejście audio/mikrofonu</w:t>
            </w:r>
            <w:r w:rsidRPr="001F1FEF">
              <w:rPr>
                <w:color w:val="000000"/>
                <w:sz w:val="22"/>
                <w:szCs w:val="22"/>
              </w:rPr>
              <w:br/>
              <w:t>1 liniowe wyjście audio</w:t>
            </w:r>
          </w:p>
        </w:tc>
      </w:tr>
      <w:tr w:rsidR="00E32547" w:rsidTr="00941780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1F1FEF" w:rsidRDefault="00E32547" w:rsidP="00941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1FEF">
              <w:rPr>
                <w:rFonts w:eastAsia="Calibri" w:cs="Calibri"/>
                <w:b/>
                <w:color w:val="000000"/>
                <w:sz w:val="22"/>
                <w:szCs w:val="22"/>
              </w:rPr>
              <w:t>Akcesoria: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D9251E">
            <w:pPr>
              <w:rPr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Klawiatura typu Windows pełnowymiarowa, układ typu QWERTY US, przewodowa podłączana przez port USB,</w:t>
            </w:r>
            <w:r w:rsidRPr="001F1FEF">
              <w:rPr>
                <w:color w:val="000000"/>
                <w:sz w:val="22"/>
                <w:szCs w:val="22"/>
              </w:rPr>
              <w:br/>
              <w:t>Mysz Przewodowa, laserowa dwu przyciskowa mysz z rolką podłączana do portu USB,</w:t>
            </w:r>
          </w:p>
          <w:p w:rsidR="00E32547" w:rsidRPr="001F1FEF" w:rsidRDefault="00E32547" w:rsidP="00D9251E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Napęd optyczny DVD-ROM</w:t>
            </w:r>
            <w:r w:rsidRPr="001F1FEF">
              <w:rPr>
                <w:color w:val="000000"/>
                <w:sz w:val="22"/>
                <w:szCs w:val="22"/>
              </w:rPr>
              <w:br/>
              <w:t>Zasilacz o parametrach wystarczających dla pracy pozostałych wymienionych podzespołów</w:t>
            </w:r>
          </w:p>
        </w:tc>
      </w:tr>
      <w:tr w:rsidR="00E32547" w:rsidTr="00941780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1F1FEF" w:rsidRDefault="00E32547" w:rsidP="00941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1FEF">
              <w:rPr>
                <w:rFonts w:eastAsia="Calibri" w:cs="Calibri"/>
                <w:b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BE00D5" w:rsidP="00941780">
            <w:pPr>
              <w:rPr>
                <w:color w:val="000000"/>
                <w:sz w:val="22"/>
                <w:szCs w:val="22"/>
              </w:rPr>
            </w:pPr>
            <w:r w:rsidRPr="005D6212">
              <w:rPr>
                <w:color w:val="000000"/>
                <w:sz w:val="22"/>
                <w:szCs w:val="22"/>
              </w:rPr>
              <w:t>Min. 2</w:t>
            </w:r>
            <w:r w:rsidR="00E32547" w:rsidRPr="005D6212">
              <w:rPr>
                <w:color w:val="000000"/>
                <w:sz w:val="22"/>
                <w:szCs w:val="22"/>
              </w:rPr>
              <w:t xml:space="preserve"> lata</w:t>
            </w:r>
            <w:r w:rsidR="00E32547" w:rsidRPr="001F1FEF">
              <w:rPr>
                <w:color w:val="000000"/>
                <w:sz w:val="22"/>
                <w:szCs w:val="22"/>
              </w:rPr>
              <w:t xml:space="preserve"> gwarancji producenta typu NBD w miejscu zainstalowania</w:t>
            </w:r>
          </w:p>
        </w:tc>
      </w:tr>
      <w:tr w:rsidR="00E32547" w:rsidRPr="001F1FEF" w:rsidTr="00941780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1F1FEF" w:rsidRDefault="00E32547" w:rsidP="00941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1FEF">
              <w:rPr>
                <w:rFonts w:eastAsia="Calibri" w:cs="Calibri"/>
                <w:b/>
                <w:color w:val="000000"/>
                <w:sz w:val="22"/>
                <w:szCs w:val="22"/>
              </w:rPr>
              <w:t>Monitor:</w:t>
            </w:r>
          </w:p>
        </w:tc>
        <w:tc>
          <w:tcPr>
            <w:tcW w:w="77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jc w:val="both"/>
              <w:rPr>
                <w:sz w:val="22"/>
                <w:szCs w:val="22"/>
              </w:rPr>
            </w:pPr>
            <w:r w:rsidRPr="001F1FEF">
              <w:rPr>
                <w:rFonts w:eastAsia="Calibri" w:cs="Calibri"/>
                <w:color w:val="000000"/>
                <w:sz w:val="22"/>
                <w:szCs w:val="22"/>
              </w:rPr>
              <w:t>Monitor Typ Panelu: TFT S-IPS, P</w:t>
            </w:r>
            <w:r w:rsidR="00294AEC">
              <w:rPr>
                <w:rFonts w:eastAsia="Calibri" w:cs="Calibri"/>
                <w:color w:val="000000"/>
                <w:sz w:val="22"/>
                <w:szCs w:val="22"/>
              </w:rPr>
              <w:t xml:space="preserve">rzekątna: 22 “, Rozdzielczość: </w:t>
            </w:r>
            <w:r w:rsidRPr="001F1FEF">
              <w:rPr>
                <w:rFonts w:eastAsia="Calibri" w:cs="Calibri"/>
                <w:color w:val="000000"/>
                <w:sz w:val="22"/>
                <w:szCs w:val="22"/>
              </w:rPr>
              <w:t>1920x1080, Kąty widzenia: min. 178° w pozi</w:t>
            </w:r>
            <w:r w:rsidR="00294AEC">
              <w:rPr>
                <w:rFonts w:eastAsia="Calibri" w:cs="Calibri"/>
                <w:color w:val="000000"/>
                <w:sz w:val="22"/>
                <w:szCs w:val="22"/>
              </w:rPr>
              <w:t xml:space="preserve">omie / </w:t>
            </w:r>
            <w:bookmarkStart w:id="0" w:name="_GoBack"/>
            <w:bookmarkEnd w:id="0"/>
            <w:r w:rsidR="00294AEC">
              <w:rPr>
                <w:rFonts w:eastAsia="Calibri" w:cs="Calibri"/>
                <w:color w:val="000000"/>
                <w:sz w:val="22"/>
                <w:szCs w:val="22"/>
              </w:rPr>
              <w:t xml:space="preserve">178° w pionie, Jasność: </w:t>
            </w:r>
            <w:r w:rsidRPr="001F1FEF">
              <w:rPr>
                <w:rFonts w:eastAsia="Calibri" w:cs="Calibri"/>
                <w:color w:val="000000"/>
                <w:sz w:val="22"/>
                <w:szCs w:val="22"/>
              </w:rPr>
              <w:t>350 cd/m</w:t>
            </w:r>
            <w:r w:rsidR="00BE00D5">
              <w:rPr>
                <w:rFonts w:eastAsia="Calibri" w:cs="Calibri"/>
                <w:color w:val="000000"/>
                <w:sz w:val="22"/>
                <w:szCs w:val="22"/>
              </w:rPr>
              <w:t xml:space="preserve">2, Kontrast: </w:t>
            </w:r>
            <w:r w:rsidR="00BE00D5">
              <w:rPr>
                <w:rFonts w:eastAsia="Calibri" w:cs="Calibri"/>
                <w:color w:val="000000"/>
                <w:sz w:val="22"/>
                <w:szCs w:val="22"/>
              </w:rPr>
              <w:lastRenderedPageBreak/>
              <w:t>1000:1, Złącza DVI lub HDMI z</w:t>
            </w:r>
            <w:r w:rsidRPr="001F1FEF">
              <w:rPr>
                <w:rFonts w:eastAsia="Calibri" w:cs="Calibri"/>
                <w:color w:val="000000"/>
                <w:sz w:val="22"/>
                <w:szCs w:val="22"/>
              </w:rPr>
              <w:t xml:space="preserve"> Display Port</w:t>
            </w:r>
            <w:r w:rsidR="00BE00D5">
              <w:rPr>
                <w:rFonts w:eastAsia="Calibri" w:cs="Calibri"/>
                <w:color w:val="000000"/>
                <w:sz w:val="22"/>
                <w:szCs w:val="22"/>
              </w:rPr>
              <w:t>,</w:t>
            </w:r>
            <w:r w:rsidRPr="001F1FEF">
              <w:rPr>
                <w:rFonts w:eastAsia="Calibri" w:cs="Calibri"/>
                <w:color w:val="000000"/>
                <w:sz w:val="22"/>
                <w:szCs w:val="22"/>
              </w:rPr>
              <w:t xml:space="preserve"> kompatybilne z oferowaną kartą graficzną, Funkcje: Złącza OSD wyświetlane na ekranie, automatyczne ustawienia, regulacja nachylenia ekranu w zakresie -5/+30 stopni</w:t>
            </w:r>
          </w:p>
        </w:tc>
      </w:tr>
    </w:tbl>
    <w:p w:rsidR="00E32547" w:rsidRPr="001F1FEF" w:rsidRDefault="00E32547" w:rsidP="00E32547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E32547" w:rsidRDefault="00E32547" w:rsidP="00E32547">
      <w:pPr>
        <w:ind w:left="720"/>
        <w:rPr>
          <w:rFonts w:ascii="Calibri" w:eastAsia="Calibri" w:hAnsi="Calibri" w:cs="Calibri"/>
          <w:b/>
          <w:sz w:val="24"/>
        </w:rPr>
      </w:pPr>
    </w:p>
    <w:p w:rsidR="00E32547" w:rsidRPr="00BE00D5" w:rsidRDefault="00E32547" w:rsidP="00BE00D5">
      <w:pPr>
        <w:pStyle w:val="Akapitzlist"/>
        <w:numPr>
          <w:ilvl w:val="0"/>
          <w:numId w:val="9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BE00D5">
        <w:rPr>
          <w:rFonts w:eastAsia="Calibri" w:cs="Calibri"/>
          <w:b/>
          <w:sz w:val="24"/>
        </w:rPr>
        <w:t>Komputer przenośny niezbędny do testowania aplikacji – 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7247"/>
      </w:tblGrid>
      <w:tr w:rsidR="00E32547" w:rsidTr="00941780"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Procesor:</w:t>
            </w:r>
          </w:p>
        </w:tc>
        <w:tc>
          <w:tcPr>
            <w:tcW w:w="724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Default="00E32547" w:rsidP="00941780">
            <w:r>
              <w:rPr>
                <w:color w:val="000000"/>
              </w:rPr>
              <w:t xml:space="preserve">obsługa instrukcji 64-bitowych, wsparcie dla technologii wirtualizacji VT-x/EPT, VT-d lub AMD-V/RVI i AMD-Vi, dwurdzeniowy, czterowątkowy klasy x86, osiągający wynik dla jednego procesora: </w:t>
            </w:r>
            <w:proofErr w:type="spellStart"/>
            <w:r>
              <w:rPr>
                <w:color w:val="0000FF"/>
              </w:rPr>
              <w:t>Passmark</w:t>
            </w:r>
            <w:proofErr w:type="spellEnd"/>
            <w:r>
              <w:rPr>
                <w:color w:val="0000FF"/>
              </w:rPr>
              <w:t xml:space="preserve"> CPU Mark &gt; 5500</w:t>
            </w:r>
            <w:r>
              <w:rPr>
                <w:color w:val="000000"/>
              </w:rPr>
              <w:t xml:space="preserve"> (wg </w:t>
            </w:r>
            <w:hyperlink r:id="rId9">
              <w:r>
                <w:rPr>
                  <w:rStyle w:val="czeinternetowe"/>
                  <w:color w:val="000000"/>
                </w:rPr>
                <w:t>www.cpubenchmark.net/laptop.html</w:t>
              </w:r>
            </w:hyperlink>
            <w:r>
              <w:rPr>
                <w:color w:val="000000"/>
              </w:rPr>
              <w:t xml:space="preserve"> odczyt z dnia 13.03.2018)</w:t>
            </w:r>
          </w:p>
        </w:tc>
      </w:tr>
      <w:tr w:rsidR="00E32547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Pamięć RAM: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Min: 16GB DDR4 z możliwością rozbudowy do 32GB</w:t>
            </w:r>
          </w:p>
        </w:tc>
      </w:tr>
      <w:tr w:rsidR="00E32547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Dyski twarde: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Min: 512GB SSD lub zestaw: 256GB SSD + 1TB SATAII</w:t>
            </w:r>
          </w:p>
        </w:tc>
      </w:tr>
      <w:tr w:rsidR="00E32547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Karta graficzna: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dedykowana z zainstalowaną pamięcią min 2GB posiadająca dwa złącza o rozdzielczościach min 1920x1080 pikseli (VGA + HDMI)</w:t>
            </w:r>
          </w:p>
        </w:tc>
      </w:tr>
      <w:tr w:rsidR="00E32547" w:rsidRPr="00D9251E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Typ wyświetlacza: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F1FEF">
              <w:rPr>
                <w:color w:val="000000"/>
                <w:sz w:val="22"/>
                <w:szCs w:val="22"/>
                <w:lang w:val="en-US"/>
              </w:rPr>
              <w:t>Rozmiar</w:t>
            </w:r>
            <w:proofErr w:type="spellEnd"/>
            <w:r w:rsidRPr="001F1FEF">
              <w:rPr>
                <w:color w:val="000000"/>
                <w:sz w:val="22"/>
                <w:szCs w:val="22"/>
                <w:lang w:val="en-US"/>
              </w:rPr>
              <w:t xml:space="preserve">: 15,6 </w:t>
            </w:r>
            <w:proofErr w:type="spellStart"/>
            <w:r w:rsidRPr="001F1FEF">
              <w:rPr>
                <w:color w:val="000000"/>
                <w:sz w:val="22"/>
                <w:szCs w:val="22"/>
                <w:lang w:val="en-US"/>
              </w:rPr>
              <w:t>cala</w:t>
            </w:r>
            <w:proofErr w:type="spellEnd"/>
            <w:r w:rsidRPr="001F1FEF">
              <w:rPr>
                <w:color w:val="000000"/>
                <w:sz w:val="22"/>
                <w:szCs w:val="22"/>
                <w:lang w:val="en-US"/>
              </w:rPr>
              <w:t xml:space="preserve"> Full HD (1920x1080) </w:t>
            </w:r>
            <w:proofErr w:type="spellStart"/>
            <w:r w:rsidRPr="001F1FEF">
              <w:rPr>
                <w:color w:val="000000"/>
                <w:sz w:val="22"/>
                <w:szCs w:val="22"/>
                <w:lang w:val="en-US"/>
              </w:rPr>
              <w:t>matowy</w:t>
            </w:r>
            <w:proofErr w:type="spellEnd"/>
            <w:r w:rsidRPr="001F1FEF">
              <w:rPr>
                <w:color w:val="000000"/>
                <w:sz w:val="22"/>
                <w:szCs w:val="22"/>
                <w:lang w:val="en-US"/>
              </w:rPr>
              <w:t xml:space="preserve"> (anti-glare) [LED]</w:t>
            </w:r>
          </w:p>
        </w:tc>
      </w:tr>
      <w:tr w:rsidR="00E32547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Łączność: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 xml:space="preserve">Przewodowa: karta sieciowa 1x10/100/1000BaseT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Gigabitethernet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 xml:space="preserve"> (RJ45)</w:t>
            </w:r>
            <w:r w:rsidRPr="001F1FEF">
              <w:rPr>
                <w:color w:val="000000"/>
                <w:sz w:val="22"/>
                <w:szCs w:val="22"/>
              </w:rPr>
              <w:br/>
              <w:t xml:space="preserve">Bezprzewodowa: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WiFi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 xml:space="preserve"> IEEE 802.11 a/b/g/n/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ac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 xml:space="preserve"> Bluetooth</w:t>
            </w:r>
          </w:p>
        </w:tc>
      </w:tr>
      <w:tr w:rsidR="00E32547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Złącza zewnętrzne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 xml:space="preserve">3 x USB 3 (w tym 1 - Power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Share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>)</w:t>
            </w:r>
            <w:r w:rsidRPr="001F1FEF">
              <w:rPr>
                <w:color w:val="000000"/>
                <w:sz w:val="22"/>
                <w:szCs w:val="22"/>
              </w:rPr>
              <w:br/>
              <w:t>1 x HDMI</w:t>
            </w:r>
            <w:r w:rsidRPr="001F1FEF">
              <w:rPr>
                <w:color w:val="000000"/>
                <w:sz w:val="22"/>
                <w:szCs w:val="22"/>
              </w:rPr>
              <w:br/>
              <w:t>1 x VGA</w:t>
            </w:r>
            <w:r w:rsidRPr="001F1FEF">
              <w:rPr>
                <w:color w:val="000000"/>
                <w:sz w:val="22"/>
                <w:szCs w:val="22"/>
              </w:rPr>
              <w:br/>
              <w:t>1 x RJ-45</w:t>
            </w:r>
            <w:r w:rsidRPr="001F1FEF">
              <w:rPr>
                <w:color w:val="000000"/>
                <w:sz w:val="22"/>
                <w:szCs w:val="22"/>
              </w:rPr>
              <w:br/>
              <w:t xml:space="preserve">1 x </w:t>
            </w:r>
            <w:proofErr w:type="spellStart"/>
            <w:r w:rsidRPr="001F1FEF">
              <w:rPr>
                <w:color w:val="000000"/>
                <w:sz w:val="22"/>
                <w:szCs w:val="22"/>
              </w:rPr>
              <w:t>combo</w:t>
            </w:r>
            <w:proofErr w:type="spellEnd"/>
            <w:r w:rsidRPr="001F1FEF">
              <w:rPr>
                <w:color w:val="000000"/>
                <w:sz w:val="22"/>
                <w:szCs w:val="22"/>
              </w:rPr>
              <w:t xml:space="preserve"> audio (mikrofon/słuchawki)</w:t>
            </w:r>
            <w:r w:rsidRPr="001F1FEF">
              <w:rPr>
                <w:color w:val="000000"/>
                <w:sz w:val="22"/>
                <w:szCs w:val="22"/>
              </w:rPr>
              <w:br/>
              <w:t>1 x wejście zasilania (DC-in)</w:t>
            </w:r>
          </w:p>
        </w:tc>
      </w:tr>
      <w:tr w:rsidR="00E32547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Wyposażenie dodatkowe: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głośniki, mikrofon, kamera internetowa</w:t>
            </w:r>
          </w:p>
        </w:tc>
      </w:tr>
      <w:tr w:rsidR="00E32547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Masa netto: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maksymalnie 2kg</w:t>
            </w:r>
          </w:p>
        </w:tc>
      </w:tr>
      <w:tr w:rsidR="00E32547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Możliwości rozbudowy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E32547" w:rsidP="00941780">
            <w:pPr>
              <w:rPr>
                <w:color w:val="000000"/>
                <w:sz w:val="22"/>
                <w:szCs w:val="22"/>
              </w:rPr>
            </w:pPr>
            <w:r w:rsidRPr="001F1FEF">
              <w:rPr>
                <w:color w:val="000000"/>
                <w:sz w:val="22"/>
                <w:szCs w:val="22"/>
              </w:rPr>
              <w:t>możliwość zastosowania dedykowanej stacji dokującej</w:t>
            </w:r>
          </w:p>
        </w:tc>
      </w:tr>
      <w:tr w:rsidR="00E32547" w:rsidTr="00941780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Default="00E32547" w:rsidP="009417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Gwarancja:</w:t>
            </w:r>
          </w:p>
        </w:tc>
        <w:tc>
          <w:tcPr>
            <w:tcW w:w="724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1F1FEF" w:rsidRDefault="005F096B" w:rsidP="009417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Min. 2</w:t>
            </w:r>
            <w:r w:rsidR="00E32547" w:rsidRPr="001F1FEF">
              <w:rPr>
                <w:color w:val="000000"/>
                <w:sz w:val="22"/>
                <w:szCs w:val="22"/>
              </w:rPr>
              <w:t xml:space="preserve"> lata gwarancji producenta typu NBD w miejscu zainstalowania</w:t>
            </w:r>
          </w:p>
        </w:tc>
      </w:tr>
    </w:tbl>
    <w:p w:rsidR="00E32547" w:rsidRDefault="00E32547" w:rsidP="00E32547">
      <w:pPr>
        <w:ind w:left="720"/>
        <w:rPr>
          <w:rFonts w:ascii="Calibri" w:eastAsia="Calibri" w:hAnsi="Calibri" w:cs="Calibri"/>
          <w:b/>
          <w:sz w:val="24"/>
        </w:rPr>
      </w:pPr>
    </w:p>
    <w:p w:rsidR="00E32547" w:rsidRPr="00BE00D5" w:rsidRDefault="00E32547" w:rsidP="00BE00D5">
      <w:pPr>
        <w:pStyle w:val="Akapitzlist"/>
        <w:numPr>
          <w:ilvl w:val="0"/>
          <w:numId w:val="9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BE00D5">
        <w:rPr>
          <w:rFonts w:eastAsia="Calibri" w:cs="Calibri"/>
          <w:b/>
          <w:sz w:val="24"/>
        </w:rPr>
        <w:t>Oprogramowanie biurowe – 17 sztuk</w:t>
      </w:r>
    </w:p>
    <w:p w:rsidR="003756AE" w:rsidRDefault="003756AE" w:rsidP="009204B0">
      <w:pPr>
        <w:shd w:val="clear" w:color="auto" w:fill="FFFFFF"/>
        <w:spacing w:before="396"/>
        <w:ind w:left="6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Przedmiotem  zam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ówienia jest  dostawa  licencji  nieograniczonych  czasowo  na  oprogramowanie biurowe wymienione poniżej:</w:t>
      </w:r>
    </w:p>
    <w:p w:rsidR="003756AE" w:rsidRPr="003756AE" w:rsidRDefault="003756AE" w:rsidP="003756AE">
      <w:pPr>
        <w:shd w:val="clear" w:color="auto" w:fill="FFFFFF"/>
        <w:ind w:left="7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</w:p>
    <w:p w:rsidR="003756AE" w:rsidRPr="003756AE" w:rsidRDefault="003756AE" w:rsidP="003756AE">
      <w:pPr>
        <w:widowControl w:val="0"/>
        <w:shd w:val="clear" w:color="auto" w:fill="FFFFFF"/>
        <w:tabs>
          <w:tab w:val="left" w:pos="713"/>
        </w:tabs>
        <w:jc w:val="center"/>
        <w:rPr>
          <w:rFonts w:ascii="DejaVu LGC Serif" w:hAnsi="DejaVu LGC Serif"/>
          <w:b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b/>
          <w:color w:val="000000"/>
          <w:sz w:val="22"/>
          <w:szCs w:val="22"/>
          <w:lang w:bidi="hi-IN"/>
        </w:rPr>
        <w:t>17 licencji na oprogramowanie biurowe lub r</w:t>
      </w:r>
      <w:r w:rsidRPr="003756AE">
        <w:rPr>
          <w:rFonts w:ascii="DejaVu LGC Serif" w:hAnsi="DejaVu LGC Serif"/>
          <w:b/>
          <w:color w:val="000000"/>
          <w:sz w:val="22"/>
          <w:szCs w:val="22"/>
          <w:lang w:bidi="hi-IN"/>
        </w:rPr>
        <w:t>ównoważne</w:t>
      </w:r>
    </w:p>
    <w:p w:rsidR="003756AE" w:rsidRPr="003756AE" w:rsidRDefault="003756AE" w:rsidP="003756AE">
      <w:pPr>
        <w:shd w:val="clear" w:color="auto" w:fill="FFFFFF"/>
        <w:jc w:val="both"/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Uwagi:</w:t>
      </w:r>
    </w:p>
    <w:p w:rsidR="003756AE" w:rsidRPr="003756AE" w:rsidRDefault="003756AE" w:rsidP="003756AE">
      <w:pPr>
        <w:widowControl w:val="0"/>
        <w:numPr>
          <w:ilvl w:val="0"/>
          <w:numId w:val="21"/>
        </w:numPr>
        <w:shd w:val="clear" w:color="auto" w:fill="FFFFFF"/>
        <w:tabs>
          <w:tab w:val="left" w:pos="713"/>
        </w:tabs>
        <w:ind w:left="367" w:firstLine="0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Zamawiaj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ący nie dopuszcza dostawy licencji typu OEM, PKC.</w:t>
      </w:r>
    </w:p>
    <w:p w:rsidR="003756AE" w:rsidRPr="003756AE" w:rsidRDefault="003756AE" w:rsidP="003756AE">
      <w:pPr>
        <w:widowControl w:val="0"/>
        <w:numPr>
          <w:ilvl w:val="0"/>
          <w:numId w:val="21"/>
        </w:numPr>
        <w:shd w:val="clear" w:color="auto" w:fill="FFFFFF"/>
        <w:tabs>
          <w:tab w:val="left" w:pos="713"/>
        </w:tabs>
        <w:ind w:left="713" w:right="29" w:hanging="346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Licencje musz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 pozwalać na przenoszenie pomiędzy stacjami roboczymi (np. w przypadku wymiany stacji roboczej).</w:t>
      </w:r>
    </w:p>
    <w:p w:rsidR="003756AE" w:rsidRPr="003756AE" w:rsidRDefault="003756AE" w:rsidP="003756AE">
      <w:pPr>
        <w:widowControl w:val="0"/>
        <w:numPr>
          <w:ilvl w:val="0"/>
          <w:numId w:val="21"/>
        </w:numPr>
        <w:shd w:val="clear" w:color="auto" w:fill="FFFFFF"/>
        <w:tabs>
          <w:tab w:val="left" w:pos="713"/>
        </w:tabs>
        <w:ind w:left="713" w:right="29" w:hanging="346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Licencjonowanie musi uwzgl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ędniać prawo (w okresie przynajmniej 5 lat) do instalacji udostępnianych przez producenta uaktualnień i poprawek krytycznych i opcjonalnych do zakupionej wersji oprogramowania.</w:t>
      </w:r>
    </w:p>
    <w:p w:rsidR="003756AE" w:rsidRPr="003756AE" w:rsidRDefault="003756AE" w:rsidP="003756AE">
      <w:pPr>
        <w:widowControl w:val="0"/>
        <w:numPr>
          <w:ilvl w:val="0"/>
          <w:numId w:val="21"/>
        </w:numPr>
        <w:shd w:val="clear" w:color="auto" w:fill="FFFFFF"/>
        <w:tabs>
          <w:tab w:val="left" w:pos="713"/>
        </w:tabs>
        <w:ind w:left="713" w:right="14" w:hanging="346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Wymagane jest zapewnienie 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żliwości korzystania z wcześniejszych wersji zamawianego oprogramowania i korzystania z kopii zamiennych (możliwość kopiowanie oprogramowania na wiele urządzeń przy wykorzystaniu jednego standardowego obrazu), z prawem do wielokrotnego użycia jednego obrazu dysku w procesie instalacji i tworzenia kopii zapasowych.</w:t>
      </w:r>
    </w:p>
    <w:p w:rsidR="003756AE" w:rsidRPr="003756AE" w:rsidRDefault="003756AE" w:rsidP="003756AE">
      <w:pPr>
        <w:widowControl w:val="0"/>
        <w:numPr>
          <w:ilvl w:val="0"/>
          <w:numId w:val="21"/>
        </w:numPr>
        <w:shd w:val="clear" w:color="auto" w:fill="FFFFFF"/>
        <w:tabs>
          <w:tab w:val="left" w:pos="713"/>
        </w:tabs>
        <w:ind w:left="367" w:firstLine="0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Licencje musz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 być przeznaczone do użytku na terenie Rzeczpospolitej Polskiej</w:t>
      </w:r>
    </w:p>
    <w:p w:rsidR="003756AE" w:rsidRPr="003756AE" w:rsidRDefault="003756AE" w:rsidP="003756AE">
      <w:pPr>
        <w:widowControl w:val="0"/>
        <w:numPr>
          <w:ilvl w:val="0"/>
          <w:numId w:val="21"/>
        </w:numPr>
        <w:shd w:val="clear" w:color="auto" w:fill="FFFFFF"/>
        <w:tabs>
          <w:tab w:val="left" w:pos="713"/>
        </w:tabs>
        <w:ind w:left="713" w:right="22" w:hanging="346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Zamawiaj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ący wymaga udzielenia uprawnień na stronie producenta oraz dostępu do kluczy licencyjnych w terminie do 20 dni od dnia zawarcia umowy.</w:t>
      </w:r>
    </w:p>
    <w:p w:rsidR="003756AE" w:rsidRPr="003756AE" w:rsidRDefault="003756AE" w:rsidP="003756AE">
      <w:pPr>
        <w:widowControl w:val="0"/>
        <w:numPr>
          <w:ilvl w:val="0"/>
          <w:numId w:val="21"/>
        </w:numPr>
        <w:shd w:val="clear" w:color="auto" w:fill="FFFFFF"/>
        <w:tabs>
          <w:tab w:val="left" w:pos="713"/>
        </w:tabs>
        <w:ind w:left="713" w:right="22" w:hanging="346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Przez poj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ęcie „równoważne" Zamawiający przyjmuje oprogramowanie posiadające co najmniej poniższe funkcjonalności:</w:t>
      </w:r>
    </w:p>
    <w:p w:rsidR="003756AE" w:rsidRPr="003756AE" w:rsidRDefault="003756AE" w:rsidP="003756AE">
      <w:p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b/>
          <w:color w:val="000000"/>
          <w:sz w:val="22"/>
          <w:szCs w:val="22"/>
          <w:lang w:bidi="hi-IN"/>
        </w:rPr>
        <w:lastRenderedPageBreak/>
        <w:t>Warunki r</w:t>
      </w:r>
      <w:r w:rsidRPr="003756AE">
        <w:rPr>
          <w:rFonts w:ascii="DejaVu LGC Serif" w:hAnsi="DejaVu LGC Serif"/>
          <w:b/>
          <w:color w:val="000000"/>
          <w:sz w:val="22"/>
          <w:szCs w:val="22"/>
          <w:lang w:bidi="hi-IN"/>
        </w:rPr>
        <w:t>ównoważności</w:t>
      </w:r>
    </w:p>
    <w:p w:rsidR="003756AE" w:rsidRPr="003756AE" w:rsidRDefault="003756AE" w:rsidP="003756AE">
      <w:pPr>
        <w:shd w:val="clear" w:color="auto" w:fill="FFFFFF"/>
        <w:ind w:left="7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 pakiet r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ównoważy Zamawiający uzna oprogramowanie spełniające poniższe wymagania poprzez wbudowane mechanizmy, bez użycia dodatkowych aplikacji: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Wymagania odno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śnie interfejsu użytkownika: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8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Pe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łna polska wersja językowa interfejsu użytkownika.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8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Prostota i intuicyjno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ść obsługi, pozwalająca na pracę osobom nieposiadającym umiejętności technicznych.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698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Oprogramowanie  musi  umo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żliwiać  tworzenie  i  edycję </w:t>
      </w:r>
      <w:r>
        <w:rPr>
          <w:rFonts w:ascii="DejaVu LGC Serif" w:hAnsi="DejaVu LGC Serif"/>
          <w:color w:val="000000"/>
          <w:sz w:val="22"/>
          <w:szCs w:val="22"/>
          <w:lang w:bidi="hi-IN"/>
        </w:rPr>
        <w:t xml:space="preserve"> dokumentów  elektronicznych  w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ustalonym formacie, który spełnia następujące warunki: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posiada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 xml:space="preserve"> kompletny i publicznie dost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ępny opis formatu,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ma zdefiniowany uk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ład informacji w posta</w:t>
      </w:r>
      <w:r w:rsidR="00E01085">
        <w:rPr>
          <w:rFonts w:ascii="DejaVu LGC Serif" w:hAnsi="DejaVu LGC Serif"/>
          <w:color w:val="000000"/>
          <w:sz w:val="22"/>
          <w:szCs w:val="22"/>
          <w:lang w:bidi="hi-IN"/>
        </w:rPr>
        <w:t>ci XML zgodnie z Załącznikiem nr 2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Rozporządzenia Rady Ministrów z dnia 12 kwietnia 2012 r. w sprawie Krajowych Ram Interoperacyjności, 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 xml:space="preserve">minimalnych wymagań dla rejestrów publicznych i wymiany informacji w postaci elektronicznej 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oraz minimalnych wymagań dla systemów teleinformatycznych (Dz. U. 2012, poz. 526),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Oprogramowanie musi umo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żliwiać dostosowanie dokumentów i szablonów do potrzeb instytucji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 sk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ład oprogramowania muszą wchodzić narzędzia programistyczne umożliwiające automatyzację pracy i wymianę danych pomiędzy dokumentami i aplikacjami (język makropoleceń, język skryptowy).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żliwia wykorzystanie schematów XML,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 xml:space="preserve">wspiera w swojej specyfikacji podpis elektroniczny w formacie </w:t>
      </w:r>
      <w:proofErr w:type="spellStart"/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XAdES</w:t>
      </w:r>
      <w:proofErr w:type="spellEnd"/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,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Do aplikacji musi by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ć dostępna pełna dokumentacja w języku polskim.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żliwość zintegrowania uwierzytelniania użytkowników z usługą katalogową Active Directory-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żliwość aktywacji zainstalowanego pakietu poprzez mechanizmy wdrożonej usługi Active Directory.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ędzie wspomagające procesy migracji z poprzednich wersj</w:t>
      </w:r>
      <w:r w:rsidR="00E01085">
        <w:rPr>
          <w:rFonts w:ascii="DejaVu LGC Serif" w:hAnsi="DejaVu LGC Serif"/>
          <w:color w:val="000000"/>
          <w:sz w:val="22"/>
          <w:szCs w:val="22"/>
          <w:lang w:bidi="hi-IN"/>
        </w:rPr>
        <w:t>i pakietu i badania zgodności z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dokumentami wytworzonymi w pakietach biurowych.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Oprogramowanie musi umo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żliwiać opatrywanie dokumentów metadanymi.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Pakiet zintegrowanych aplikacji biurowych musi zawiera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ć: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Edytor tekst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Arkusz kalkulacyjny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ędzie do przygotowywania i prowadzenia prezentacji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ędzie do tworzenia i wypełniania formularzy elektronicznych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ędzie do tworzenia drukowanych materiałów informacyjnych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ędzie do tworzenia i pracy z lokalną bazą danych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ędzie do zarządzania informacją prywat</w:t>
      </w:r>
      <w:r w:rsidR="00016640">
        <w:rPr>
          <w:rFonts w:ascii="DejaVu LGC Serif" w:hAnsi="DejaVu LGC Serif"/>
          <w:color w:val="000000"/>
          <w:sz w:val="22"/>
          <w:szCs w:val="22"/>
          <w:lang w:bidi="hi-IN"/>
        </w:rPr>
        <w:t>n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 (pocztą elektroniczną, kalendarzem, kontaktami i zadaniami)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ędzie do tworzenia notatek przy pomocy klawiatury lub notatek odręcznych na ekranie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ądzenia typu tablet PC z mechanizmem OCR.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Narzędzie komunikacji wielokanałowej stanowiące interfejs do systemu wiadomości błyskawicznych (tekstowych), komunikacji głosowej, komunikacji video.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Edytor tekstów musi umożliwiać: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62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Edycj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ę i formatowanie tekstu w języku polskim wraz </w:t>
      </w:r>
      <w:r w:rsidR="00016640">
        <w:rPr>
          <w:rFonts w:ascii="DejaVu LGC Serif" w:hAnsi="DejaVu LGC Serif"/>
          <w:color w:val="000000"/>
          <w:sz w:val="22"/>
          <w:szCs w:val="22"/>
          <w:lang w:bidi="hi-IN"/>
        </w:rPr>
        <w:t>z obsługą języka polskiego w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zakresie sprawdzania pisowni i poprawności gramatycznej oraz funkcjonalnością słownika wyrazów bliskoznacznych i autokorekty.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62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Wstawianie oraz formatowanie tabel.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62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Wstawianie oraz formatowanie obiekt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 graficznych.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62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Wstawianie wykres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 i tabel z arkusza kalkulacyjnego (wliczając tabele przestawne).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62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Automatyczne numerowanie rozdzia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łów, punktów, akapitów, tabel i rysunków.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62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Automatyczne tworzenie spis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ów treści.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62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lastRenderedPageBreak/>
        <w:t>Formatowanie nag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łówków i stopek stron.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Siedzenie i por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ównywanie zmian wprowadzonych przez użytkowników w dokumencie.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Nagrywanie, tworzenie i edycj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 makr automatyzujących wykonywanie czynności.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Okre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ślenie układu strony (pionowa/pozioma).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Wydruk dokument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ów.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Wykonywanie korespondencji seryjnej bazuj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ąc na d</w:t>
      </w:r>
      <w:r w:rsidR="00E01085">
        <w:rPr>
          <w:rFonts w:ascii="DejaVu LGC Serif" w:hAnsi="DejaVu LGC Serif"/>
          <w:color w:val="000000"/>
          <w:sz w:val="22"/>
          <w:szCs w:val="22"/>
          <w:lang w:bidi="hi-IN"/>
        </w:rPr>
        <w:t>anych adresowych pochodzących z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arkusza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kalkulacyjnego i z narz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ędzia do zarządzania informacją prywatną. 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Pracę na dokumentach utworzonych przy pomocy Microsoft Word 2003 lub Microsoft Word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2007 i 2010 z zapewnieniem bezproblemowej konwersji wszystkich element</w:t>
      </w:r>
      <w:r w:rsidR="006B427B">
        <w:rPr>
          <w:rFonts w:ascii="DejaVu LGC Serif" w:hAnsi="DejaVu LGC Serif"/>
          <w:color w:val="000000"/>
          <w:sz w:val="22"/>
          <w:szCs w:val="22"/>
          <w:lang w:bidi="hi-IN"/>
        </w:rPr>
        <w:t>ów i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atrybutów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 xml:space="preserve">dokumentu. 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Zabezpieczenie dokument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 hasłem przed odczytem oraz p</w:t>
      </w:r>
      <w:r w:rsidR="00016640">
        <w:rPr>
          <w:rFonts w:ascii="DejaVu LGC Serif" w:hAnsi="DejaVu LGC Serif"/>
          <w:color w:val="000000"/>
          <w:sz w:val="22"/>
          <w:szCs w:val="22"/>
          <w:lang w:bidi="hi-IN"/>
        </w:rPr>
        <w:t>rzed wprowadzaniem modyfikacji.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Wymagana  jest  dostępność  do  oferowanego  edytora  tekstu  bezpłatnych  narzędzi </w:t>
      </w: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umo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 xml:space="preserve">żliwiających  wykorzystanie  go, jako  środowiska  kreowania  aktów  normatywnych  i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prawnych, zgodnie z obowi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ązującym prawem. </w:t>
      </w:r>
    </w:p>
    <w:p w:rsidR="003756AE" w:rsidRPr="003756AE" w:rsidRDefault="003756AE" w:rsidP="003756AE">
      <w:pPr>
        <w:widowControl w:val="0"/>
        <w:numPr>
          <w:ilvl w:val="1"/>
          <w:numId w:val="23"/>
        </w:numPr>
        <w:shd w:val="clear" w:color="auto" w:fill="FFFFFF"/>
        <w:tabs>
          <w:tab w:val="left" w:pos="691"/>
        </w:tabs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Wymagana  jest  dostępność  do  oferowanego  edytora  tekstu  bezpłatnych narzędzi umożliwiających podpisanie podpisem elektronicznym pliku z zapisanym dokumentem przy 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pomocy certyfikatu kwalifikowanego zgodnie</w:t>
      </w:r>
      <w:r w:rsidR="00E01085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 xml:space="preserve"> z wymaganiami obowiązującego w 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 xml:space="preserve">Polsce prawa. </w:t>
      </w:r>
    </w:p>
    <w:p w:rsidR="003756AE" w:rsidRPr="003756AE" w:rsidRDefault="003756AE" w:rsidP="003756AE">
      <w:pPr>
        <w:widowControl w:val="0"/>
        <w:numPr>
          <w:ilvl w:val="0"/>
          <w:numId w:val="23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Arkusz kalkulacyjny musi umożliwiać: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84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raport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 tabelarycznych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84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wykres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 liniowych (wraz linią trendu), słupkowych, kołowych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84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 arkuszy  kalkulacyjnych  zawieraj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ących  teksty,  dane  liczbowe  oraz  formuły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przeprowadzaj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ące operacje matematyczne, logiczne, tekstowe, statystyczne oraz operacje na danych finansowych i na miarach czasu.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raport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ów z zewnętrznych źródeł danych (inne arkusze kalkulacyjne, bazy danych zgodne z ODBC, pliki tekstowe, pliki XML, </w:t>
      </w:r>
      <w:proofErr w:type="spellStart"/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webservice</w:t>
      </w:r>
      <w:proofErr w:type="spellEnd"/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)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Obs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ługę kostek OLAP oraz tworzenie i edycję kwerend bazodanowych i webowych. Narzędzia 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wspomagające analizę statystyczną i finansową, a</w:t>
      </w:r>
      <w:r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nalizę wariantową i 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 xml:space="preserve">rozwiązywanie problemów 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optymalizacyjnych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raport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 tabeli przestawnych umożliwiających dynamiczną zmianę wymiarów oraz wykresów bazujących na danych z tabeli przestawnych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Wyszukiwanie i zamian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 danych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Wykonywanie analiz danych przy u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życiu formatowania warunkowego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Nazywanie kom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órek arkusza i odwoływanie się w formułach po takiej nazwie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Nagrywanie, tworzenie i edycj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 makr automatyzujących wykonywanie czynności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Formatowanie czasu, daty i warto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ści finansowych z polskim formatem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Zapis wielu arkuszy kalkulacyjnych w jednym pliku.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Zachowanie pe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łnej zgodności z formatami plików utworzonych za pomocą oprogramowania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Microsoft Excel 2003 oraz</w:t>
      </w:r>
      <w:r w:rsidR="0056158B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 xml:space="preserve"> Microsoft Excel 2007 i 2010, z 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uwzgl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ędnieniem poprawnej realizacji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żyty</w:t>
      </w:r>
      <w:r w:rsidR="0056158B">
        <w:rPr>
          <w:rFonts w:ascii="DejaVu LGC Serif" w:hAnsi="DejaVu LGC Serif"/>
          <w:color w:val="000000"/>
          <w:sz w:val="22"/>
          <w:szCs w:val="22"/>
          <w:lang w:bidi="hi-IN"/>
        </w:rPr>
        <w:t>ch w nich funkcji specjalnych i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makropoleceń.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Zabezpieczenie dokumentów hasłem przed odczytem oraz przed wprowadzaniem modyfikacji. </w:t>
      </w:r>
    </w:p>
    <w:p w:rsidR="003756AE" w:rsidRPr="003756AE" w:rsidRDefault="003756AE" w:rsidP="003756AE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Narzędzie do przygotowywania i prowadzenia prezentacji musi umożliwiać: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Przygotowywan</w:t>
      </w:r>
      <w:r w:rsidR="00016640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ie prezentacji multimedialnych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Prezentowanie przy u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życiu projektora multimedialnego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Drukowanie w formacie umo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żliwiającym robienie notatek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Zapisanie ja</w:t>
      </w:r>
      <w:r w:rsidR="00016640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ko prezentacja tylko do odczytu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Nagrywanie narracji i do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łączanie jej do prezentacji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Opatrywanie slajd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 notatkami dla prezentera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Umieszczanie i formatowanie tekst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ów, obiektów graficznych, tabel, nagrań dźwiękowych i wideo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Umieszczanie tabel i wykres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 pochodzących z arkusza kalkulacyjnego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lastRenderedPageBreak/>
        <w:t>Od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świeżenie wykresu znajdującego się w prezentacji po zmianie danych w źródłowym arkuszu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 xml:space="preserve">kalkulacyjnym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żliwość tworzenia animacji obiektów i całych slajdów </w:t>
      </w:r>
    </w:p>
    <w:p w:rsidR="00016640" w:rsidRPr="00016640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Prowadzenie prezentacji w trybie prezentera, gdzie slajdy są widoczne na jednym monitorze lub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projektorze, a na drugim widoczne s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</w:t>
      </w:r>
      <w:r w:rsidR="00016640">
        <w:rPr>
          <w:rFonts w:ascii="DejaVu LGC Serif" w:hAnsi="DejaVu LGC Serif"/>
          <w:color w:val="000000"/>
          <w:sz w:val="22"/>
          <w:szCs w:val="22"/>
          <w:lang w:bidi="hi-IN"/>
        </w:rPr>
        <w:t xml:space="preserve"> slajdy i notatki prezentera.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Pełna zgodność z formatami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plik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ów utworzonych za pomocą oprogramowania MS PowerPoint </w:t>
      </w:r>
      <w:r w:rsidR="00C20466">
        <w:rPr>
          <w:rFonts w:ascii="DejaVu LGC Serif" w:hAnsi="DejaVu LGC Serif"/>
          <w:color w:val="000000"/>
          <w:sz w:val="22"/>
          <w:szCs w:val="22"/>
          <w:lang w:bidi="hi-IN"/>
        </w:rPr>
        <w:t>2003, MS PowerPoint 2007 i 2010.</w:t>
      </w:r>
    </w:p>
    <w:p w:rsidR="003756AE" w:rsidRPr="003756AE" w:rsidRDefault="003756AE" w:rsidP="003756AE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i edycj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 drukowanych materiałów informacyjnych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materia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łów przy użyciu dostępnych z narzędziem szablonów: broszur, biuletynów, katalogów.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Edycj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 poszczególnych stron materiałów.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Podzia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ł treści na kolumny.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Umieszczanie element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ów graficznych.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Wykorzystanie mechanizmu korespondencji seryjnej.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84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P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łynne przesuwanie elementów po całej stronie publikacji.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84"/>
        </w:tabs>
        <w:jc w:val="both"/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Eksport publikacji do formatu PDF oraz TIFF.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Wydruk publikacji.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żliwość przygotowywania materiałów do wydruku w standardzie CMYK. </w:t>
      </w:r>
    </w:p>
    <w:p w:rsidR="003756AE" w:rsidRPr="003756AE" w:rsidRDefault="003756AE" w:rsidP="003756AE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Narzędzie do zarządzania informacją prywatną (pocztą elektroniczną, kalendarzem, kontaktami i zadaniami) musi umożliwiać: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Pobieranie i wysy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łanie poczty elektronicznej z serwera pocztowego MS Exchange 2010/2013,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Przechowywanie wiadomo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ści na serwerze l</w:t>
      </w:r>
      <w:r w:rsidR="0056158B">
        <w:rPr>
          <w:rFonts w:ascii="DejaVu LGC Serif" w:hAnsi="DejaVu LGC Serif"/>
          <w:color w:val="000000"/>
          <w:sz w:val="22"/>
          <w:szCs w:val="22"/>
          <w:lang w:bidi="hi-IN"/>
        </w:rPr>
        <w:t>ub w lokalnym pliku tworzonym z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zastosowaniem efektywnej kompresji danych,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Filtrowanie niechcianej poczty elektronicznej (SPAM) oraz okre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ślanie listy zablokowanych i bezpiecznych nadawców,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katalog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ów, pozwalających katalogować pocztę elektroniczną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Automatyczne grupowanie poczty o tym samym tytule,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regu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 przenoszących automatycznie nową pocztę elektroniczną do określonych katalogów bazując na słowach zawartych w tytule, adresie nadawcy i odbiorcy,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tabs>
          <w:tab w:val="left" w:pos="677"/>
        </w:tabs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Oflagowanie poczty elektronicznej  z okre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śleniem terminu przypomnienia,  oddzielnie dla nadawcy i adresatów,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Mechanizm ustalania liczby wiadomo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ści, które mają być synchronizowane lokalnie,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ądzanie kalendarzem,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Udost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ępnianie  kalendarza  innym  użytkownikom  z  możliwością  określania  uprawnień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żytkowników,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Przeglądanie kalendarza innych użytkowników,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Zapraszanie  uczestników  na  spotkanie,  co  po  ich  akceptacji  powoduje automatyczne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 xml:space="preserve">wprowadzenie spotkania w ich kalendarzach,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ądzanie listą zadań,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Zlecanie zadań innym użytkownikom,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Zarządzanie listą kontaktów</w:t>
      </w:r>
      <w:r>
        <w:rPr>
          <w:rFonts w:ascii="DejaVu LGC Serif" w:hAnsi="DejaVu LGC Serif"/>
          <w:color w:val="000000"/>
          <w:sz w:val="22"/>
          <w:szCs w:val="22"/>
          <w:lang w:bidi="hi-IN"/>
        </w:rPr>
        <w:t>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Udost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ępnianie listy kontaktów innym użytkownikom,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Przeglądanie listy kontaktów innych użytkowników,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Możliwość przesyłania kontaktów innym użytkowników. </w:t>
      </w:r>
    </w:p>
    <w:p w:rsidR="003756AE" w:rsidRPr="003756AE" w:rsidRDefault="003756AE" w:rsidP="003756AE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Narzędzie do tworzenia i pracy z lokalną bazą danych musi umożliwiać: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bazy danych przez zdefiniowanie:</w:t>
      </w:r>
    </w:p>
    <w:p w:rsidR="003756AE" w:rsidRPr="003756AE" w:rsidRDefault="003756AE" w:rsidP="003756AE">
      <w:pPr>
        <w:widowControl w:val="0"/>
        <w:numPr>
          <w:ilvl w:val="2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Tabel sk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ładających się z unikatowego klucza i pól różnych typ</w:t>
      </w:r>
      <w:r w:rsidR="0056158B">
        <w:rPr>
          <w:rFonts w:ascii="DejaVu LGC Serif" w:hAnsi="DejaVu LGC Serif"/>
          <w:color w:val="000000"/>
          <w:sz w:val="22"/>
          <w:szCs w:val="22"/>
          <w:lang w:bidi="hi-IN"/>
        </w:rPr>
        <w:t>ów, w tym tekstowych i </w:t>
      </w:r>
      <w:r w:rsidR="00500F11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liczbowych</w:t>
      </w:r>
    </w:p>
    <w:p w:rsidR="003756AE" w:rsidRPr="003756AE" w:rsidRDefault="003756AE" w:rsidP="003756AE">
      <w:pPr>
        <w:widowControl w:val="0"/>
        <w:numPr>
          <w:ilvl w:val="2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Relacji pomi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ędzy tabelami </w:t>
      </w:r>
    </w:p>
    <w:p w:rsidR="003756AE" w:rsidRPr="003756AE" w:rsidRDefault="003756AE" w:rsidP="003756AE">
      <w:pPr>
        <w:widowControl w:val="0"/>
        <w:numPr>
          <w:ilvl w:val="2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Formularzy do wprowadzania i edycji danych</w:t>
      </w:r>
    </w:p>
    <w:p w:rsidR="003756AE" w:rsidRPr="003756AE" w:rsidRDefault="003756AE" w:rsidP="003756AE">
      <w:pPr>
        <w:widowControl w:val="0"/>
        <w:numPr>
          <w:ilvl w:val="2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Raportów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Edycj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 danych i zapisywanie ich w lokalnie przechowywanej bazie danych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bazy danych przy u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życiu zdefiniowanych szablonów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łączenie z danymi zewnętrznymi, a w szczególności z innymi bazami danych zgodnymi 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lastRenderedPageBreak/>
        <w:t>z ODBC, plikami XML, arkuszem kalkulacyjnym.</w:t>
      </w:r>
    </w:p>
    <w:p w:rsidR="003756AE" w:rsidRPr="003756AE" w:rsidRDefault="003756AE" w:rsidP="003756AE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Narz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ędzie do zarządzania informacją prywatną (pocztą elektroniczną, kalendarzem, kontaktami i zadaniami) musi umożliwiać: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Pobieranie i wysy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łanie poczty elektronicznej z serwera pocztowego,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Przechowywanie wiadomo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ści na serwerze l</w:t>
      </w:r>
      <w:r>
        <w:rPr>
          <w:rFonts w:ascii="DejaVu LGC Serif" w:hAnsi="DejaVu LGC Serif"/>
          <w:color w:val="000000"/>
          <w:sz w:val="22"/>
          <w:szCs w:val="22"/>
          <w:lang w:bidi="hi-IN"/>
        </w:rPr>
        <w:t>ub w lokalnym pliku tworzonym z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zastosowaniem efektywnej kompresji danych,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Filtrowanie niechcianej poczty elektronicznej (SPAM) oraz okre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ślanie listy zablokowanych i bezpiecznych nadawców,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katalog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ów, pozwalających katalogować pocztę elektroniczną,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Automatyczne grupowanie poczty o tym samym tytule,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Tworzenie regu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 przenoszących automatycznie nową pocztę elektroniczną do określonych katalogów bazując na słowach zawartych w tytule, adresie nadawcy i odbiorcy,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Oflagowanie poczty elektronicznej  z okre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śleniem terminu przypomnienia,  oddzielnie dla nadawcy i adresatów,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Mechanizm ustalania liczby wiadomo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ści, które mają być synchronizowane lokalnie,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Zarządzanie kalendarzem,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Udost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ępnianie  kalendarza  innym  użytkownikom  z  możliwością  określania  uprawnień użytkowników,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Przegl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ądanie kalendarza innych użytkowników,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Zapraszanie  uczestnik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ów  na  spotkanie,  co  po  ich  akceptacji  powoduje automatyczne </w:t>
      </w:r>
      <w:r w:rsidRPr="003756AE">
        <w:rPr>
          <w:rFonts w:ascii="DejaVu LGC Serif" w:eastAsia="WenQuanYi Zen Hei Sharp" w:hAnsi="DejaVu LGC Serif" w:cs="Lohit Devanagari"/>
          <w:color w:val="000000"/>
          <w:spacing w:val="-2"/>
          <w:sz w:val="22"/>
          <w:szCs w:val="22"/>
          <w:lang w:bidi="hi-IN"/>
        </w:rPr>
        <w:t>wprowadzenie spotkania w ich kalendarzach,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Zarz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ądzanie listą zadań,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Zlecanie zadań innym użytkownikom,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Zarządzanie listą kontaktów,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Udost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ępnianie listy kontaktów innym użytkownikom,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Przeglądanie listy kontaktów innych użytkowników,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hAnsi="DejaVu LGC Serif"/>
          <w:color w:val="000000"/>
          <w:sz w:val="22"/>
          <w:szCs w:val="22"/>
          <w:lang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Możliwość przesyłania kontaktów innym użytkowników. </w:t>
      </w:r>
    </w:p>
    <w:p w:rsidR="003756AE" w:rsidRPr="003756AE" w:rsidRDefault="003756AE" w:rsidP="003756AE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hAnsi="DejaVu LGC Serif"/>
          <w:color w:val="000000"/>
          <w:spacing w:val="-2"/>
          <w:sz w:val="22"/>
          <w:szCs w:val="22"/>
          <w:lang w:bidi="hi-IN"/>
        </w:rPr>
        <w:t xml:space="preserve">Narzędzie  komunikacji  wielokanałowej  stanowiące  interfejs  do  systemu  wiadomości 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błyskawicznych (tekstowych), komunikacji głosowej, komunikacji video musi spełniać następujące wymagania: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Pe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łna polska wersja językowa interfejsu użytkownika.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Prostota i intuicyjno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ść obsługi, pozwalająca na pracę osobom nieposiadającym umiejętności technicznych.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żliwość zintegrowania uwierzytelniania użytkowników z usługą katalogową Active Directory -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żliwość obsługi tekstowych wiadomości błyskawicznych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Mo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żliwość komunikacji głosowej i video.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pacing w:val="-1"/>
          <w:sz w:val="22"/>
          <w:szCs w:val="22"/>
          <w:lang w:bidi="hi-IN"/>
        </w:rPr>
        <w:t>Sygnalizowanie statusu dost</w:t>
      </w:r>
      <w:r w:rsidRPr="003756AE">
        <w:rPr>
          <w:rFonts w:ascii="DejaVu LGC Serif" w:hAnsi="DejaVu LGC Serif"/>
          <w:color w:val="000000"/>
          <w:spacing w:val="-1"/>
          <w:sz w:val="22"/>
          <w:szCs w:val="22"/>
          <w:lang w:bidi="hi-IN"/>
        </w:rPr>
        <w:t>ępności innych użytkowników serwera komunikacji wielokanałowej.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żliwość definiowania listy kontaktów lub dołączania jej z listy zawartej w usłudze katalogowej.</w:t>
      </w:r>
    </w:p>
    <w:p w:rsidR="003756AE" w:rsidRPr="003756AE" w:rsidRDefault="003756AE" w:rsidP="003756AE">
      <w:pPr>
        <w:widowControl w:val="0"/>
        <w:numPr>
          <w:ilvl w:val="1"/>
          <w:numId w:val="24"/>
        </w:numPr>
        <w:shd w:val="clear" w:color="auto" w:fill="FFFFFF"/>
        <w:jc w:val="both"/>
        <w:rPr>
          <w:rFonts w:ascii="DejaVu LGC Serif" w:eastAsia="WenQuanYi Zen Hei Sharp" w:hAnsi="DejaVu LGC Serif" w:cs="Lohit Devanagari"/>
          <w:color w:val="00000A"/>
          <w:sz w:val="22"/>
          <w:szCs w:val="22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Mo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żliwość wyświetlania szczegółowej informacji opisującej innych użytkowników oraz ich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dost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ępność, pobieranej z usługi katalogowej i systemu kalendarzy serwera poczty elektronicznej.</w:t>
      </w:r>
    </w:p>
    <w:p w:rsidR="003756AE" w:rsidRPr="003756AE" w:rsidRDefault="003756AE" w:rsidP="003756AE">
      <w:pPr>
        <w:widowControl w:val="0"/>
        <w:numPr>
          <w:ilvl w:val="0"/>
          <w:numId w:val="24"/>
        </w:numPr>
        <w:shd w:val="clear" w:color="auto" w:fill="FFFFFF"/>
        <w:ind w:left="714" w:hanging="357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 xml:space="preserve">Z uwagi na to, 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że art. 30 ust. 5 ustawy Prawo zamówień publicznych wyraźnie wskazuje na Wykonawcę, jako tego, kto jest zobowiązany wykazać, że oferowane rozwiązania i produkty spełniają wymagania postawione przez Zamawiającego,</w:t>
      </w:r>
      <w:r w:rsidR="00500F11">
        <w:rPr>
          <w:rFonts w:ascii="DejaVu LGC Serif" w:hAnsi="DejaVu LGC Serif"/>
          <w:color w:val="000000"/>
          <w:sz w:val="22"/>
          <w:szCs w:val="22"/>
          <w:lang w:bidi="hi-IN"/>
        </w:rPr>
        <w:t xml:space="preserve"> Zamawiający zastrzega sobie, w 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przypadku jakichkolwiek wątpliwości, prawo sprawdzenie pełnej zgodności oferowanych </w:t>
      </w:r>
      <w:r w:rsidRPr="003756AE">
        <w:rPr>
          <w:rFonts w:ascii="DejaVu LGC Serif" w:eastAsia="WenQuanYi Zen Hei Sharp" w:hAnsi="DejaVu LGC Serif" w:cs="Lohit Devanagari"/>
          <w:color w:val="000000"/>
          <w:sz w:val="22"/>
          <w:szCs w:val="22"/>
          <w:lang w:bidi="hi-IN"/>
        </w:rPr>
        <w:t>produkt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ów z wymogami specyfikacji. Sprawdzenie to, będzie polegać na wielokrotnym przeprowadzeniu testów w warunkach produkcyjnych na sprzęcie Zamawiającego, z użyciem urządzeń peryferyjnych Zamawiającego, na arkuszach, bazach danych i plikach Zamawiającego. W tym celu Wykonawca na każde wezwanie Zamawiającego dostarczy do siedziby Zamawiającego w terminie do 5 dni od daty otrzymania wezwania, po jednym </w:t>
      </w: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lastRenderedPageBreak/>
        <w:t>egzemplarzu wskazanego przedmiotu dostawy. Mogą zostać dostarczone licencje tymczasowe, w pełni zgodne z oferowanymi. Jednocześnie Zamawiający zastrzega sobie możliwość odwołania się do oficjalnych, publicznie dostępnych stron internetowych producenta weryfikowanego przedmiotu zamówienia. Negatywny wynik tego sprawdzenia skutkować będzie odrzuceniem oferty, na podstawie art. 89 ust. 1 pkt. 2 ustawy</w:t>
      </w:r>
      <w:r w:rsidR="00500F11">
        <w:rPr>
          <w:rFonts w:ascii="DejaVu LGC Serif" w:hAnsi="DejaVu LGC Serif"/>
          <w:color w:val="000000"/>
          <w:sz w:val="22"/>
          <w:szCs w:val="22"/>
          <w:lang w:bidi="hi-IN"/>
        </w:rPr>
        <w:t xml:space="preserve"> </w:t>
      </w:r>
      <w:proofErr w:type="spellStart"/>
      <w:r w:rsidR="00500F11">
        <w:rPr>
          <w:rFonts w:ascii="DejaVu LGC Serif" w:hAnsi="DejaVu LGC Serif"/>
          <w:color w:val="000000"/>
          <w:sz w:val="22"/>
          <w:szCs w:val="22"/>
          <w:lang w:bidi="hi-IN"/>
        </w:rPr>
        <w:t>Pzp</w:t>
      </w:r>
      <w:proofErr w:type="spellEnd"/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 xml:space="preserve">. Nie przedłożenie oferowanych produktów do przetestowania w ww. terminie zostanie potraktowane, jako negatywny wynik sprawdzenia. </w:t>
      </w:r>
    </w:p>
    <w:p w:rsidR="003756AE" w:rsidRPr="003756AE" w:rsidRDefault="003756AE" w:rsidP="003756AE">
      <w:pPr>
        <w:widowControl w:val="0"/>
        <w:numPr>
          <w:ilvl w:val="0"/>
          <w:numId w:val="24"/>
        </w:numPr>
        <w:shd w:val="clear" w:color="auto" w:fill="FFFFFF"/>
        <w:ind w:left="714" w:hanging="357"/>
        <w:jc w:val="both"/>
        <w:rPr>
          <w:rFonts w:ascii="Liberation Serif" w:eastAsia="WenQuanYi Zen Hei Sharp" w:hAnsi="Liberation Serif" w:cs="Lohit Devanagari"/>
          <w:color w:val="00000A"/>
          <w:sz w:val="24"/>
          <w:szCs w:val="24"/>
          <w:lang w:eastAsia="zh-CN" w:bidi="hi-IN"/>
        </w:rPr>
      </w:pPr>
      <w:r w:rsidRPr="003756AE">
        <w:rPr>
          <w:rFonts w:ascii="DejaVu LGC Serif" w:hAnsi="DejaVu LGC Serif"/>
          <w:color w:val="000000"/>
          <w:sz w:val="22"/>
          <w:szCs w:val="22"/>
          <w:lang w:bidi="hi-IN"/>
        </w:rPr>
        <w:t>Termin realizacji zamówienia: do 20 dni od dnia podpisania umowy.</w:t>
      </w:r>
    </w:p>
    <w:p w:rsidR="00914618" w:rsidRPr="005A05B9" w:rsidRDefault="00914618" w:rsidP="003756AE">
      <w:pPr>
        <w:shd w:val="clear" w:color="auto" w:fill="FFFFFF"/>
        <w:spacing w:line="252" w:lineRule="exact"/>
        <w:jc w:val="both"/>
        <w:rPr>
          <w:color w:val="000000"/>
          <w:sz w:val="22"/>
          <w:szCs w:val="22"/>
        </w:rPr>
      </w:pPr>
    </w:p>
    <w:sectPr w:rsidR="00914618" w:rsidRPr="005A05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79" w:rsidRDefault="00E31479" w:rsidP="003D4E1E">
      <w:r>
        <w:separator/>
      </w:r>
    </w:p>
  </w:endnote>
  <w:endnote w:type="continuationSeparator" w:id="0">
    <w:p w:rsidR="00E31479" w:rsidRDefault="00E31479" w:rsidP="003D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LGC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79" w:rsidRDefault="00E31479" w:rsidP="003D4E1E">
      <w:r>
        <w:separator/>
      </w:r>
    </w:p>
  </w:footnote>
  <w:footnote w:type="continuationSeparator" w:id="0">
    <w:p w:rsidR="00E31479" w:rsidRDefault="00E31479" w:rsidP="003D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1E" w:rsidRDefault="003D4E1E">
    <w:pPr>
      <w:pStyle w:val="Nagwek"/>
    </w:pPr>
    <w:r>
      <w:rPr>
        <w:noProof/>
      </w:rPr>
      <w:drawing>
        <wp:inline distT="0" distB="0" distL="0" distR="0">
          <wp:extent cx="5760720" cy="408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15A"/>
    <w:multiLevelType w:val="hybridMultilevel"/>
    <w:tmpl w:val="DC9C03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027F3"/>
    <w:multiLevelType w:val="hybridMultilevel"/>
    <w:tmpl w:val="AEEC3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092EFB"/>
    <w:multiLevelType w:val="hybridMultilevel"/>
    <w:tmpl w:val="28B63C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31E53"/>
    <w:multiLevelType w:val="multilevel"/>
    <w:tmpl w:val="1C040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2CC7004D"/>
    <w:multiLevelType w:val="multilevel"/>
    <w:tmpl w:val="70E0D2C0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</w:lvl>
    <w:lvl w:ilvl="2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>
      <w:start w:val="1"/>
      <w:numFmt w:val="decimal"/>
      <w:lvlText w:val="%4."/>
      <w:lvlJc w:val="left"/>
      <w:pPr>
        <w:tabs>
          <w:tab w:val="num" w:pos="1807"/>
        </w:tabs>
        <w:ind w:left="1807" w:hanging="360"/>
      </w:pPr>
    </w:lvl>
    <w:lvl w:ilvl="4">
      <w:start w:val="1"/>
      <w:numFmt w:val="decimal"/>
      <w:lvlText w:val="%5."/>
      <w:lvlJc w:val="left"/>
      <w:pPr>
        <w:tabs>
          <w:tab w:val="num" w:pos="2167"/>
        </w:tabs>
        <w:ind w:left="2167" w:hanging="360"/>
      </w:pPr>
    </w:lvl>
    <w:lvl w:ilvl="5">
      <w:start w:val="1"/>
      <w:numFmt w:val="decimal"/>
      <w:lvlText w:val="%6."/>
      <w:lvlJc w:val="left"/>
      <w:pPr>
        <w:tabs>
          <w:tab w:val="num" w:pos="2527"/>
        </w:tabs>
        <w:ind w:left="2527" w:hanging="360"/>
      </w:pPr>
    </w:lvl>
    <w:lvl w:ilvl="6">
      <w:start w:val="1"/>
      <w:numFmt w:val="decimal"/>
      <w:lvlText w:val="%7."/>
      <w:lvlJc w:val="left"/>
      <w:pPr>
        <w:tabs>
          <w:tab w:val="num" w:pos="2887"/>
        </w:tabs>
        <w:ind w:left="2887" w:hanging="360"/>
      </w:pPr>
    </w:lvl>
    <w:lvl w:ilvl="7">
      <w:start w:val="1"/>
      <w:numFmt w:val="decimal"/>
      <w:lvlText w:val="%8."/>
      <w:lvlJc w:val="left"/>
      <w:pPr>
        <w:tabs>
          <w:tab w:val="num" w:pos="3247"/>
        </w:tabs>
        <w:ind w:left="3247" w:hanging="360"/>
      </w:pPr>
    </w:lvl>
    <w:lvl w:ilvl="8">
      <w:start w:val="1"/>
      <w:numFmt w:val="decimal"/>
      <w:lvlText w:val="%9."/>
      <w:lvlJc w:val="left"/>
      <w:pPr>
        <w:tabs>
          <w:tab w:val="num" w:pos="3607"/>
        </w:tabs>
        <w:ind w:left="3607" w:hanging="360"/>
      </w:pPr>
    </w:lvl>
  </w:abstractNum>
  <w:abstractNum w:abstractNumId="6">
    <w:nsid w:val="2DF00F07"/>
    <w:multiLevelType w:val="multilevel"/>
    <w:tmpl w:val="78ACCA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4FE3D83"/>
    <w:multiLevelType w:val="hybridMultilevel"/>
    <w:tmpl w:val="FB8E28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026C2"/>
    <w:multiLevelType w:val="hybridMultilevel"/>
    <w:tmpl w:val="1CBE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30D76"/>
    <w:multiLevelType w:val="hybridMultilevel"/>
    <w:tmpl w:val="2CFC3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5D0F"/>
    <w:multiLevelType w:val="multilevel"/>
    <w:tmpl w:val="A4607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BA663DB"/>
    <w:multiLevelType w:val="hybridMultilevel"/>
    <w:tmpl w:val="1C6E02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842189"/>
    <w:multiLevelType w:val="hybridMultilevel"/>
    <w:tmpl w:val="83BC5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B55291"/>
    <w:multiLevelType w:val="hybridMultilevel"/>
    <w:tmpl w:val="B5C4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51C4D"/>
    <w:multiLevelType w:val="hybridMultilevel"/>
    <w:tmpl w:val="DF0A20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924F71"/>
    <w:multiLevelType w:val="multilevel"/>
    <w:tmpl w:val="D514F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0CA6528"/>
    <w:multiLevelType w:val="multilevel"/>
    <w:tmpl w:val="FE7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919338D"/>
    <w:multiLevelType w:val="hybridMultilevel"/>
    <w:tmpl w:val="B08C7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6D164223"/>
    <w:multiLevelType w:val="multilevel"/>
    <w:tmpl w:val="EA707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4CA4977"/>
    <w:multiLevelType w:val="multilevel"/>
    <w:tmpl w:val="22C09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75FF7EE0"/>
    <w:multiLevelType w:val="multilevel"/>
    <w:tmpl w:val="333605EC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</w:lvl>
    <w:lvl w:ilvl="2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>
      <w:start w:val="1"/>
      <w:numFmt w:val="decimal"/>
      <w:lvlText w:val="%4."/>
      <w:lvlJc w:val="left"/>
      <w:pPr>
        <w:tabs>
          <w:tab w:val="num" w:pos="1807"/>
        </w:tabs>
        <w:ind w:left="1807" w:hanging="360"/>
      </w:pPr>
    </w:lvl>
    <w:lvl w:ilvl="4">
      <w:start w:val="1"/>
      <w:numFmt w:val="decimal"/>
      <w:lvlText w:val="%5."/>
      <w:lvlJc w:val="left"/>
      <w:pPr>
        <w:tabs>
          <w:tab w:val="num" w:pos="2167"/>
        </w:tabs>
        <w:ind w:left="2167" w:hanging="360"/>
      </w:pPr>
    </w:lvl>
    <w:lvl w:ilvl="5">
      <w:start w:val="1"/>
      <w:numFmt w:val="decimal"/>
      <w:lvlText w:val="%6."/>
      <w:lvlJc w:val="left"/>
      <w:pPr>
        <w:tabs>
          <w:tab w:val="num" w:pos="2527"/>
        </w:tabs>
        <w:ind w:left="2527" w:hanging="360"/>
      </w:pPr>
    </w:lvl>
    <w:lvl w:ilvl="6">
      <w:start w:val="1"/>
      <w:numFmt w:val="decimal"/>
      <w:lvlText w:val="%7."/>
      <w:lvlJc w:val="left"/>
      <w:pPr>
        <w:tabs>
          <w:tab w:val="num" w:pos="2887"/>
        </w:tabs>
        <w:ind w:left="2887" w:hanging="360"/>
      </w:pPr>
    </w:lvl>
    <w:lvl w:ilvl="7">
      <w:start w:val="1"/>
      <w:numFmt w:val="decimal"/>
      <w:lvlText w:val="%8."/>
      <w:lvlJc w:val="left"/>
      <w:pPr>
        <w:tabs>
          <w:tab w:val="num" w:pos="3247"/>
        </w:tabs>
        <w:ind w:left="3247" w:hanging="360"/>
      </w:pPr>
    </w:lvl>
    <w:lvl w:ilvl="8">
      <w:start w:val="1"/>
      <w:numFmt w:val="decimal"/>
      <w:lvlText w:val="%9."/>
      <w:lvlJc w:val="left"/>
      <w:pPr>
        <w:tabs>
          <w:tab w:val="num" w:pos="3607"/>
        </w:tabs>
        <w:ind w:left="3607" w:hanging="360"/>
      </w:pPr>
    </w:lvl>
  </w:abstractNum>
  <w:abstractNum w:abstractNumId="22">
    <w:nsid w:val="783F5F4D"/>
    <w:multiLevelType w:val="multilevel"/>
    <w:tmpl w:val="ABF67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D033DE3"/>
    <w:multiLevelType w:val="hybridMultilevel"/>
    <w:tmpl w:val="DDEE9D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3"/>
  </w:num>
  <w:num w:numId="5">
    <w:abstractNumId w:val="19"/>
  </w:num>
  <w:num w:numId="6">
    <w:abstractNumId w:val="18"/>
  </w:num>
  <w:num w:numId="7">
    <w:abstractNumId w:val="4"/>
  </w:num>
  <w:num w:numId="8">
    <w:abstractNumId w:val="20"/>
  </w:num>
  <w:num w:numId="9">
    <w:abstractNumId w:val="13"/>
  </w:num>
  <w:num w:numId="10">
    <w:abstractNumId w:val="8"/>
  </w:num>
  <w:num w:numId="11">
    <w:abstractNumId w:val="9"/>
  </w:num>
  <w:num w:numId="12">
    <w:abstractNumId w:val="23"/>
  </w:num>
  <w:num w:numId="13">
    <w:abstractNumId w:val="17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5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BB"/>
    <w:rsid w:val="00016640"/>
    <w:rsid w:val="00117430"/>
    <w:rsid w:val="001F1FEF"/>
    <w:rsid w:val="00283290"/>
    <w:rsid w:val="00294AEC"/>
    <w:rsid w:val="002A1E97"/>
    <w:rsid w:val="003756AE"/>
    <w:rsid w:val="003D4E1E"/>
    <w:rsid w:val="00500F11"/>
    <w:rsid w:val="0056158B"/>
    <w:rsid w:val="00582E8C"/>
    <w:rsid w:val="005A05B9"/>
    <w:rsid w:val="005D6212"/>
    <w:rsid w:val="005F096B"/>
    <w:rsid w:val="006B2690"/>
    <w:rsid w:val="006B427B"/>
    <w:rsid w:val="0089722F"/>
    <w:rsid w:val="009114B3"/>
    <w:rsid w:val="00914618"/>
    <w:rsid w:val="009204B0"/>
    <w:rsid w:val="00A176BB"/>
    <w:rsid w:val="00A951E7"/>
    <w:rsid w:val="00A96D0E"/>
    <w:rsid w:val="00B6743B"/>
    <w:rsid w:val="00BE00D5"/>
    <w:rsid w:val="00C20466"/>
    <w:rsid w:val="00D9251E"/>
    <w:rsid w:val="00E01085"/>
    <w:rsid w:val="00E31479"/>
    <w:rsid w:val="00E32547"/>
    <w:rsid w:val="00F0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deskto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lapto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2598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Jarosław Stepiński</cp:lastModifiedBy>
  <cp:revision>14</cp:revision>
  <dcterms:created xsi:type="dcterms:W3CDTF">2018-04-11T05:49:00Z</dcterms:created>
  <dcterms:modified xsi:type="dcterms:W3CDTF">2018-04-11T06:24:00Z</dcterms:modified>
</cp:coreProperties>
</file>